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032F7" w14:textId="77777777" w:rsidR="00636D98" w:rsidRPr="00636D98" w:rsidRDefault="00636D98" w:rsidP="00636D98">
      <w:pPr>
        <w:spacing w:after="0" w:line="240" w:lineRule="auto"/>
        <w:jc w:val="center"/>
        <w:rPr>
          <w:rFonts w:ascii="Calibri" w:eastAsia="Calibri" w:hAnsi="Calibri" w:cs="Calibri"/>
          <w:color w:val="0E101A"/>
          <w:sz w:val="20"/>
          <w:szCs w:val="20"/>
          <w:u w:val="single"/>
        </w:rPr>
      </w:pPr>
      <w:r w:rsidRPr="00636D98">
        <w:rPr>
          <w:rFonts w:ascii="Calibri" w:eastAsia="Calibri" w:hAnsi="Calibri" w:cs="Calibri"/>
          <w:color w:val="0E101A"/>
          <w:sz w:val="20"/>
          <w:szCs w:val="20"/>
          <w:u w:val="single"/>
        </w:rPr>
        <w:t>PROPOSAL SUBMISSION TRANSITION PROCESSES</w:t>
      </w:r>
    </w:p>
    <w:p w14:paraId="04CFF571" w14:textId="77777777" w:rsidR="00636D98" w:rsidRPr="00636D98" w:rsidRDefault="00636D98" w:rsidP="00636D98">
      <w:pPr>
        <w:spacing w:after="0" w:line="240" w:lineRule="auto"/>
        <w:rPr>
          <w:rFonts w:ascii="Calibri" w:eastAsia="Calibri" w:hAnsi="Calibri" w:cs="Calibri"/>
          <w:color w:val="0E101A"/>
          <w:sz w:val="20"/>
          <w:szCs w:val="20"/>
        </w:rPr>
      </w:pPr>
    </w:p>
    <w:p w14:paraId="3907B401" w14:textId="77777777" w:rsidR="00636D98" w:rsidRPr="00636D98" w:rsidRDefault="00636D98" w:rsidP="00636D98">
      <w:pPr>
        <w:spacing w:after="0" w:line="240" w:lineRule="auto"/>
        <w:rPr>
          <w:rFonts w:ascii="Calibri" w:eastAsia="Calibri" w:hAnsi="Calibri" w:cs="Calibri"/>
          <w:color w:val="0E101A"/>
          <w:sz w:val="20"/>
          <w:szCs w:val="20"/>
        </w:rPr>
      </w:pPr>
      <w:r w:rsidRPr="00636D98">
        <w:rPr>
          <w:rFonts w:ascii="Calibri" w:eastAsia="Calibri" w:hAnsi="Calibri" w:cs="Calibri"/>
          <w:color w:val="0E101A"/>
          <w:sz w:val="20"/>
          <w:szCs w:val="20"/>
        </w:rPr>
        <w:t xml:space="preserve">The implementation of the new Kuali Research system will unavoidably require a transition period from the current PAMIS system* to the new one**.  </w:t>
      </w:r>
    </w:p>
    <w:p w14:paraId="77914B47" w14:textId="77777777" w:rsidR="00636D98" w:rsidRPr="00636D98" w:rsidRDefault="00636D98" w:rsidP="00636D98">
      <w:pPr>
        <w:spacing w:after="0" w:line="240" w:lineRule="auto"/>
        <w:rPr>
          <w:rFonts w:ascii="Calibri" w:eastAsia="Calibri" w:hAnsi="Calibri" w:cs="Calibri"/>
          <w:color w:val="0E101A"/>
          <w:sz w:val="20"/>
          <w:szCs w:val="20"/>
        </w:rPr>
      </w:pPr>
    </w:p>
    <w:p w14:paraId="1C01CF97" w14:textId="77777777" w:rsidR="00636D98" w:rsidRPr="00636D98" w:rsidRDefault="00636D98" w:rsidP="00636D98">
      <w:pPr>
        <w:spacing w:after="0" w:line="240" w:lineRule="auto"/>
        <w:rPr>
          <w:rFonts w:ascii="Calibri" w:eastAsia="Calibri" w:hAnsi="Calibri" w:cs="Calibri"/>
          <w:color w:val="0E101A"/>
          <w:sz w:val="20"/>
          <w:szCs w:val="20"/>
        </w:rPr>
      </w:pPr>
      <w:r w:rsidRPr="00636D98">
        <w:rPr>
          <w:rFonts w:ascii="Calibri" w:eastAsia="Calibri" w:hAnsi="Calibri" w:cs="Calibri"/>
          <w:i/>
          <w:iCs/>
          <w:color w:val="0E101A"/>
          <w:sz w:val="20"/>
          <w:szCs w:val="20"/>
        </w:rPr>
        <w:t>*The electronic Campus Approval Form (eCAF) sunsets the week of June 20</w:t>
      </w:r>
      <w:r w:rsidRPr="00636D98">
        <w:rPr>
          <w:rFonts w:ascii="Calibri" w:eastAsia="Calibri" w:hAnsi="Calibri" w:cs="Calibri"/>
          <w:i/>
          <w:iCs/>
          <w:color w:val="0E101A"/>
          <w:sz w:val="20"/>
          <w:szCs w:val="20"/>
          <w:vertAlign w:val="superscript"/>
        </w:rPr>
        <w:t>th</w:t>
      </w:r>
      <w:r w:rsidRPr="00636D98">
        <w:rPr>
          <w:rFonts w:ascii="Calibri" w:eastAsia="Calibri" w:hAnsi="Calibri" w:cs="Calibri"/>
          <w:i/>
          <w:iCs/>
          <w:color w:val="0E101A"/>
          <w:sz w:val="20"/>
          <w:szCs w:val="20"/>
        </w:rPr>
        <w:t xml:space="preserve"> and, thereafter, will be available in read only mode.   </w:t>
      </w:r>
    </w:p>
    <w:p w14:paraId="0C85A3CF" w14:textId="77777777" w:rsidR="00636D98" w:rsidRPr="00636D98" w:rsidRDefault="00636D98" w:rsidP="00636D98">
      <w:pPr>
        <w:spacing w:after="0" w:line="240" w:lineRule="auto"/>
        <w:rPr>
          <w:rFonts w:ascii="Calibri" w:eastAsia="Calibri" w:hAnsi="Calibri" w:cs="Calibri"/>
          <w:color w:val="0E101A"/>
          <w:sz w:val="20"/>
          <w:szCs w:val="20"/>
        </w:rPr>
      </w:pPr>
      <w:r w:rsidRPr="00636D98">
        <w:rPr>
          <w:rFonts w:ascii="Calibri" w:eastAsia="Calibri" w:hAnsi="Calibri" w:cs="Calibri"/>
          <w:i/>
          <w:iCs/>
          <w:color w:val="0E101A"/>
          <w:sz w:val="20"/>
          <w:szCs w:val="20"/>
        </w:rPr>
        <w:t xml:space="preserve">**Kuali Research will replace eCAF and will be available for use beginning July 5, 2023.  </w:t>
      </w:r>
    </w:p>
    <w:p w14:paraId="7DE9E867" w14:textId="77777777" w:rsidR="00636D98" w:rsidRPr="00636D98" w:rsidRDefault="00636D98" w:rsidP="00636D98">
      <w:pPr>
        <w:spacing w:after="0" w:line="240" w:lineRule="auto"/>
        <w:rPr>
          <w:rFonts w:ascii="Calibri" w:eastAsia="Calibri" w:hAnsi="Calibri" w:cs="Calibri"/>
          <w:color w:val="0E101A"/>
          <w:sz w:val="20"/>
          <w:szCs w:val="20"/>
        </w:rPr>
      </w:pPr>
    </w:p>
    <w:p w14:paraId="1185BE11" w14:textId="77777777" w:rsidR="00636D98" w:rsidRPr="00636D98" w:rsidRDefault="00636D98" w:rsidP="00636D98">
      <w:pPr>
        <w:spacing w:after="0" w:line="240" w:lineRule="auto"/>
        <w:rPr>
          <w:rFonts w:ascii="Calibri" w:eastAsia="Calibri" w:hAnsi="Calibri" w:cs="Calibri"/>
          <w:color w:val="0E101A"/>
          <w:sz w:val="20"/>
          <w:szCs w:val="20"/>
        </w:rPr>
      </w:pPr>
      <w:r w:rsidRPr="00636D98">
        <w:rPr>
          <w:rFonts w:ascii="Calibri" w:eastAsia="Calibri" w:hAnsi="Calibri" w:cs="Calibri"/>
          <w:color w:val="0E101A"/>
          <w:sz w:val="20"/>
          <w:szCs w:val="20"/>
        </w:rPr>
        <w:t xml:space="preserve">To avoid a blackout period and minimize the impact of this transition period on proposal submissions, the following </w:t>
      </w:r>
      <w:r w:rsidRPr="00636D98">
        <w:rPr>
          <w:rFonts w:ascii="Calibri" w:eastAsia="Calibri" w:hAnsi="Calibri" w:cs="Calibri"/>
          <w:i/>
          <w:iCs/>
          <w:color w:val="0E101A"/>
          <w:sz w:val="20"/>
          <w:szCs w:val="20"/>
        </w:rPr>
        <w:t>Proposal Submission Transition Process</w:t>
      </w:r>
      <w:r w:rsidRPr="00636D98">
        <w:rPr>
          <w:rFonts w:ascii="Calibri" w:eastAsia="Calibri" w:hAnsi="Calibri" w:cs="Calibri"/>
          <w:color w:val="0E101A"/>
          <w:sz w:val="20"/>
          <w:szCs w:val="20"/>
        </w:rPr>
        <w:t xml:space="preserve"> has been established.  </w:t>
      </w:r>
    </w:p>
    <w:p w14:paraId="52D95563" w14:textId="77777777" w:rsidR="00636D98" w:rsidRPr="00636D98" w:rsidRDefault="00636D98" w:rsidP="00636D98">
      <w:pPr>
        <w:spacing w:after="0" w:line="240" w:lineRule="auto"/>
        <w:rPr>
          <w:rFonts w:ascii="Calibri" w:eastAsia="Calibri" w:hAnsi="Calibri" w:cs="Calibri"/>
          <w:color w:val="0E101A"/>
          <w:sz w:val="20"/>
          <w:szCs w:val="20"/>
        </w:rPr>
      </w:pPr>
    </w:p>
    <w:p w14:paraId="7B346508" w14:textId="19C8F7A2" w:rsidR="00636D98" w:rsidRDefault="00636D98" w:rsidP="00636D98">
      <w:pPr>
        <w:pStyle w:val="ListParagraph"/>
        <w:numPr>
          <w:ilvl w:val="0"/>
          <w:numId w:val="3"/>
        </w:numPr>
        <w:rPr>
          <w:sz w:val="20"/>
          <w:szCs w:val="20"/>
        </w:rPr>
      </w:pPr>
      <w:r w:rsidRPr="00636D98">
        <w:rPr>
          <w:b/>
          <w:bCs/>
          <w:sz w:val="20"/>
          <w:szCs w:val="20"/>
        </w:rPr>
        <w:t>By June 20</w:t>
      </w:r>
      <w:r w:rsidRPr="00636D98">
        <w:rPr>
          <w:b/>
          <w:bCs/>
          <w:sz w:val="20"/>
          <w:szCs w:val="20"/>
          <w:vertAlign w:val="superscript"/>
        </w:rPr>
        <w:t>th</w:t>
      </w:r>
      <w:r w:rsidRPr="00636D98">
        <w:rPr>
          <w:sz w:val="20"/>
          <w:szCs w:val="20"/>
        </w:rPr>
        <w:t xml:space="preserve">, </w:t>
      </w:r>
      <w:r w:rsidRPr="00636D98">
        <w:rPr>
          <w:b/>
          <w:bCs/>
          <w:sz w:val="20"/>
          <w:szCs w:val="20"/>
        </w:rPr>
        <w:t xml:space="preserve">researchers should submit an </w:t>
      </w:r>
      <w:hyperlink r:id="rId5">
        <w:r w:rsidRPr="00636D98">
          <w:rPr>
            <w:rStyle w:val="Hyperlink"/>
            <w:b/>
            <w:bCs/>
            <w:color w:val="4A6EE0"/>
            <w:sz w:val="20"/>
            <w:szCs w:val="20"/>
          </w:rPr>
          <w:t>eCAF</w:t>
        </w:r>
      </w:hyperlink>
      <w:r w:rsidRPr="00636D98">
        <w:rPr>
          <w:b/>
          <w:bCs/>
          <w:sz w:val="20"/>
          <w:szCs w:val="20"/>
        </w:rPr>
        <w:t xml:space="preserve"> for all </w:t>
      </w:r>
      <w:r w:rsidRPr="00636D98">
        <w:rPr>
          <w:b/>
          <w:bCs/>
          <w:sz w:val="20"/>
          <w:szCs w:val="20"/>
          <w:u w:val="single"/>
        </w:rPr>
        <w:t>anticipated</w:t>
      </w:r>
      <w:r w:rsidRPr="00636D98">
        <w:rPr>
          <w:b/>
          <w:bCs/>
          <w:sz w:val="20"/>
          <w:szCs w:val="20"/>
        </w:rPr>
        <w:t xml:space="preserve"> proposals having a sponsor deadline between June 22 - July 6, 2023.</w:t>
      </w:r>
      <w:r w:rsidRPr="00636D98">
        <w:rPr>
          <w:sz w:val="20"/>
          <w:szCs w:val="20"/>
        </w:rPr>
        <w:t xml:space="preserve"> (</w:t>
      </w:r>
      <w:r w:rsidRPr="00636D98">
        <w:rPr>
          <w:b/>
          <w:bCs/>
          <w:sz w:val="20"/>
          <w:szCs w:val="20"/>
        </w:rPr>
        <w:t>Note: T</w:t>
      </w:r>
      <w:r w:rsidRPr="00636D98">
        <w:rPr>
          <w:b/>
          <w:bCs/>
          <w:sz w:val="20"/>
          <w:szCs w:val="20"/>
          <w:u w:val="single"/>
        </w:rPr>
        <w:t>his deadline is only for the eCAF and NOT for the final proposal submission.</w:t>
      </w:r>
      <w:r w:rsidRPr="00636D98">
        <w:rPr>
          <w:sz w:val="20"/>
          <w:szCs w:val="20"/>
        </w:rPr>
        <w:t>)  Once the eCAF is submitted, researchers must adhere to the office of Research and Economic Development’s (RED) proposal submission policy, which requires that the final proposal (i.e., final document(s) that are reviewed, endorsed by Sponsored Programs Administration (</w:t>
      </w:r>
      <w:hyperlink r:id="rId6" w:history="1">
        <w:r w:rsidRPr="00636D98">
          <w:rPr>
            <w:sz w:val="20"/>
            <w:szCs w:val="20"/>
          </w:rPr>
          <w:t>SPA)</w:t>
        </w:r>
      </w:hyperlink>
      <w:r w:rsidRPr="00636D98">
        <w:rPr>
          <w:sz w:val="20"/>
          <w:szCs w:val="20"/>
        </w:rPr>
        <w:t xml:space="preserve">, and provided to the sponsor via PDF, Cayuse, sponsors platform, etc.) be delivered to their SPA Contracts &amp; Grants Officer (or to their RED Industry Officer, as applicable) </w:t>
      </w:r>
      <w:r w:rsidRPr="00636D98">
        <w:rPr>
          <w:b/>
          <w:bCs/>
          <w:sz w:val="20"/>
          <w:szCs w:val="20"/>
        </w:rPr>
        <w:t xml:space="preserve">no later than two full business days before the sponsor's due date. </w:t>
      </w:r>
      <w:r w:rsidRPr="00636D98">
        <w:rPr>
          <w:sz w:val="20"/>
          <w:szCs w:val="20"/>
        </w:rPr>
        <w:t>There is no change in this 2-day requirement.</w:t>
      </w:r>
    </w:p>
    <w:p w14:paraId="4DD0C8BC" w14:textId="77777777" w:rsidR="00DE2CD9" w:rsidRPr="00A95B94" w:rsidRDefault="00DE2CD9" w:rsidP="00DE2CD9">
      <w:pPr>
        <w:pStyle w:val="ListParagraph"/>
        <w:ind w:left="360"/>
        <w:rPr>
          <w:sz w:val="20"/>
          <w:szCs w:val="20"/>
        </w:rPr>
      </w:pPr>
    </w:p>
    <w:p w14:paraId="2414DA85" w14:textId="77777777" w:rsidR="00636D98" w:rsidRPr="00636D98" w:rsidRDefault="00636D98" w:rsidP="00636D98">
      <w:pPr>
        <w:pStyle w:val="ListParagraph"/>
        <w:numPr>
          <w:ilvl w:val="0"/>
          <w:numId w:val="3"/>
        </w:numPr>
        <w:rPr>
          <w:sz w:val="20"/>
          <w:szCs w:val="20"/>
        </w:rPr>
      </w:pPr>
      <w:r w:rsidRPr="00636D98">
        <w:rPr>
          <w:b/>
          <w:bCs/>
          <w:i/>
          <w:iCs/>
          <w:sz w:val="20"/>
          <w:szCs w:val="20"/>
          <w:u w:val="single"/>
        </w:rPr>
        <w:t>If a researcher is unable to submit an eCAF by June 20</w:t>
      </w:r>
      <w:r w:rsidRPr="00636D98">
        <w:rPr>
          <w:b/>
          <w:bCs/>
          <w:i/>
          <w:iCs/>
          <w:sz w:val="20"/>
          <w:szCs w:val="20"/>
          <w:u w:val="single"/>
          <w:vertAlign w:val="superscript"/>
        </w:rPr>
        <w:t>th</w:t>
      </w:r>
      <w:r w:rsidRPr="00636D98">
        <w:rPr>
          <w:b/>
          <w:bCs/>
          <w:i/>
          <w:iCs/>
          <w:sz w:val="20"/>
          <w:szCs w:val="20"/>
          <w:u w:val="single"/>
        </w:rPr>
        <w:t>, such researcher will need to follow the three- step interim eCAF proposal process identified below.</w:t>
      </w:r>
    </w:p>
    <w:p w14:paraId="4F0FE879" w14:textId="77777777" w:rsidR="00636D98" w:rsidRPr="00636D98" w:rsidRDefault="00636D98" w:rsidP="00636D98">
      <w:pPr>
        <w:ind w:left="360"/>
        <w:rPr>
          <w:b/>
          <w:bCs/>
          <w:sz w:val="20"/>
          <w:szCs w:val="20"/>
        </w:rPr>
      </w:pPr>
      <w:r w:rsidRPr="00636D98">
        <w:rPr>
          <w:b/>
          <w:bCs/>
          <w:sz w:val="20"/>
          <w:szCs w:val="20"/>
        </w:rPr>
        <w:t xml:space="preserve">Step 1. </w:t>
      </w:r>
    </w:p>
    <w:p w14:paraId="305640BA" w14:textId="77777777" w:rsidR="00636D98" w:rsidRPr="00636D98" w:rsidRDefault="00636D98" w:rsidP="00636D98">
      <w:pPr>
        <w:ind w:left="360"/>
        <w:rPr>
          <w:sz w:val="20"/>
          <w:szCs w:val="20"/>
        </w:rPr>
      </w:pPr>
      <w:r w:rsidRPr="00636D98">
        <w:rPr>
          <w:sz w:val="20"/>
          <w:szCs w:val="20"/>
        </w:rPr>
        <w:t xml:space="preserve">Complete the fillable PDF eCAF located at </w:t>
      </w:r>
      <w:hyperlink r:id="rId7" w:history="1">
        <w:r w:rsidRPr="00636D98">
          <w:rPr>
            <w:rStyle w:val="Hyperlink"/>
            <w:sz w:val="20"/>
            <w:szCs w:val="20"/>
          </w:rPr>
          <w:t>https://research.ucr.edu/sites/default/files/2022-03/paper_ecaf_fillable_final.pdf</w:t>
        </w:r>
      </w:hyperlink>
    </w:p>
    <w:p w14:paraId="77FDE015" w14:textId="77777777" w:rsidR="00636D98" w:rsidRPr="00636D98" w:rsidRDefault="00636D98" w:rsidP="00636D98">
      <w:pPr>
        <w:ind w:left="360"/>
        <w:rPr>
          <w:b/>
          <w:bCs/>
          <w:sz w:val="20"/>
          <w:szCs w:val="20"/>
        </w:rPr>
      </w:pPr>
      <w:r w:rsidRPr="00636D98">
        <w:rPr>
          <w:b/>
          <w:bCs/>
          <w:sz w:val="20"/>
          <w:szCs w:val="20"/>
        </w:rPr>
        <w:t xml:space="preserve">Step 2.  </w:t>
      </w:r>
    </w:p>
    <w:p w14:paraId="618A6E87" w14:textId="77777777" w:rsidR="00636D98" w:rsidRPr="00636D98" w:rsidRDefault="00636D98" w:rsidP="00636D98">
      <w:pPr>
        <w:ind w:left="360"/>
        <w:rPr>
          <w:sz w:val="20"/>
          <w:szCs w:val="20"/>
        </w:rPr>
      </w:pPr>
      <w:r w:rsidRPr="00636D98">
        <w:rPr>
          <w:sz w:val="20"/>
          <w:szCs w:val="20"/>
        </w:rPr>
        <w:t xml:space="preserve">Email the completed PDF eCAF with applicable approvals (email confirmation attachments are acceptable) to your RED Officer </w:t>
      </w:r>
      <w:hyperlink r:id="rId8" w:history="1"/>
      <w:r w:rsidRPr="00636D98">
        <w:rPr>
          <w:sz w:val="20"/>
          <w:szCs w:val="20"/>
        </w:rPr>
        <w:t xml:space="preserve">(with a copy to </w:t>
      </w:r>
      <w:hyperlink r:id="rId9" w:history="1">
        <w:r w:rsidRPr="00636D98">
          <w:rPr>
            <w:rStyle w:val="Hyperlink"/>
            <w:sz w:val="20"/>
            <w:szCs w:val="20"/>
          </w:rPr>
          <w:t>proposals@ucr.edu</w:t>
        </w:r>
      </w:hyperlink>
      <w:r w:rsidRPr="00636D98">
        <w:rPr>
          <w:sz w:val="20"/>
          <w:szCs w:val="20"/>
        </w:rPr>
        <w:t>) and include:</w:t>
      </w:r>
    </w:p>
    <w:p w14:paraId="16BF1646" w14:textId="77777777" w:rsidR="00636D98" w:rsidRPr="00636D98" w:rsidRDefault="00636D98" w:rsidP="00636D98">
      <w:pPr>
        <w:pStyle w:val="ListParagraph"/>
        <w:numPr>
          <w:ilvl w:val="0"/>
          <w:numId w:val="1"/>
        </w:numPr>
        <w:ind w:left="1080"/>
        <w:rPr>
          <w:sz w:val="20"/>
          <w:szCs w:val="20"/>
        </w:rPr>
      </w:pPr>
      <w:r w:rsidRPr="00636D98">
        <w:rPr>
          <w:sz w:val="20"/>
          <w:szCs w:val="20"/>
        </w:rPr>
        <w:t>The FOA or solicitation</w:t>
      </w:r>
    </w:p>
    <w:p w14:paraId="3BC63E1E" w14:textId="77777777" w:rsidR="00636D98" w:rsidRPr="00636D98" w:rsidRDefault="00636D98" w:rsidP="00636D98">
      <w:pPr>
        <w:pStyle w:val="ListParagraph"/>
        <w:numPr>
          <w:ilvl w:val="0"/>
          <w:numId w:val="1"/>
        </w:numPr>
        <w:ind w:left="1080"/>
        <w:rPr>
          <w:sz w:val="20"/>
          <w:szCs w:val="20"/>
        </w:rPr>
      </w:pPr>
      <w:r w:rsidRPr="00636D98">
        <w:rPr>
          <w:sz w:val="20"/>
          <w:szCs w:val="20"/>
        </w:rPr>
        <w:t xml:space="preserve">The applicable Conflict of Interest disclosures:  </w:t>
      </w:r>
      <w:hyperlink r:id="rId10" w:history="1">
        <w:r w:rsidRPr="00636D98">
          <w:rPr>
            <w:rStyle w:val="Hyperlink"/>
            <w:sz w:val="20"/>
            <w:szCs w:val="20"/>
          </w:rPr>
          <w:t>https://research.ucr.edu/ori/pro</w:t>
        </w:r>
      </w:hyperlink>
      <w:r w:rsidRPr="00636D98">
        <w:rPr>
          <w:sz w:val="20"/>
          <w:szCs w:val="20"/>
        </w:rPr>
        <w:t>.</w:t>
      </w:r>
    </w:p>
    <w:p w14:paraId="3F49D1B3" w14:textId="77777777" w:rsidR="00636D98" w:rsidRPr="00636D98" w:rsidRDefault="00636D98" w:rsidP="00636D98">
      <w:pPr>
        <w:pStyle w:val="ListParagraph"/>
        <w:numPr>
          <w:ilvl w:val="0"/>
          <w:numId w:val="1"/>
        </w:numPr>
        <w:ind w:left="1080"/>
        <w:rPr>
          <w:sz w:val="20"/>
          <w:szCs w:val="20"/>
        </w:rPr>
      </w:pPr>
      <w:r w:rsidRPr="00636D98">
        <w:rPr>
          <w:sz w:val="20"/>
          <w:szCs w:val="20"/>
        </w:rPr>
        <w:t xml:space="preserve">The Proposal and all attachments needed to review and endorse the proposal. </w:t>
      </w:r>
    </w:p>
    <w:p w14:paraId="0DFEA0D7" w14:textId="77777777" w:rsidR="00636D98" w:rsidRPr="00636D98" w:rsidRDefault="00636D98" w:rsidP="00636D98">
      <w:pPr>
        <w:pStyle w:val="ListParagraph"/>
        <w:numPr>
          <w:ilvl w:val="0"/>
          <w:numId w:val="2"/>
        </w:numPr>
        <w:ind w:left="1440"/>
        <w:rPr>
          <w:sz w:val="20"/>
          <w:szCs w:val="20"/>
        </w:rPr>
      </w:pPr>
      <w:r w:rsidRPr="00636D98">
        <w:rPr>
          <w:sz w:val="20"/>
          <w:szCs w:val="20"/>
        </w:rPr>
        <w:t xml:space="preserve">Proposals requiring submission via an electronic platform need to identify the platform in the email. Examples: “The proposal is in Research.gov” or “The proposal is in Cayuse. “  </w:t>
      </w:r>
    </w:p>
    <w:p w14:paraId="7C6CFF4A" w14:textId="77777777" w:rsidR="00636D98" w:rsidRPr="00636D98" w:rsidRDefault="00636D98" w:rsidP="00636D98">
      <w:pPr>
        <w:spacing w:after="0"/>
        <w:ind w:left="360"/>
        <w:rPr>
          <w:sz w:val="20"/>
          <w:szCs w:val="20"/>
        </w:rPr>
      </w:pPr>
      <w:r w:rsidRPr="00636D98">
        <w:rPr>
          <w:sz w:val="20"/>
          <w:szCs w:val="20"/>
        </w:rPr>
        <w:t>The subject line of the email should state: Proposal – [</w:t>
      </w:r>
      <w:r w:rsidRPr="00636D98">
        <w:rPr>
          <w:i/>
          <w:iCs/>
          <w:sz w:val="20"/>
          <w:szCs w:val="20"/>
        </w:rPr>
        <w:t>Insert PI’s Last Name</w:t>
      </w:r>
      <w:r w:rsidRPr="00636D98">
        <w:rPr>
          <w:sz w:val="20"/>
          <w:szCs w:val="20"/>
        </w:rPr>
        <w:t>] - [</w:t>
      </w:r>
      <w:r w:rsidRPr="00636D98">
        <w:rPr>
          <w:i/>
          <w:iCs/>
          <w:sz w:val="20"/>
          <w:szCs w:val="20"/>
        </w:rPr>
        <w:t>Insert Name of PI’s Department</w:t>
      </w:r>
      <w:r w:rsidRPr="00636D98">
        <w:rPr>
          <w:sz w:val="20"/>
          <w:szCs w:val="20"/>
        </w:rPr>
        <w:t>] – [</w:t>
      </w:r>
      <w:r w:rsidRPr="00636D98">
        <w:rPr>
          <w:i/>
          <w:iCs/>
          <w:sz w:val="20"/>
          <w:szCs w:val="20"/>
        </w:rPr>
        <w:t>Insert Sponsor’s Name</w:t>
      </w:r>
      <w:r w:rsidRPr="00636D98">
        <w:rPr>
          <w:sz w:val="20"/>
          <w:szCs w:val="20"/>
        </w:rPr>
        <w:t>] -</w:t>
      </w:r>
      <w:r w:rsidRPr="00636D98">
        <w:rPr>
          <w:i/>
          <w:iCs/>
          <w:sz w:val="20"/>
          <w:szCs w:val="20"/>
        </w:rPr>
        <w:t xml:space="preserve"> </w:t>
      </w:r>
      <w:r w:rsidRPr="00636D98">
        <w:rPr>
          <w:sz w:val="20"/>
          <w:szCs w:val="20"/>
        </w:rPr>
        <w:t>Due [</w:t>
      </w:r>
      <w:r w:rsidRPr="00636D98">
        <w:rPr>
          <w:i/>
          <w:iCs/>
          <w:sz w:val="20"/>
          <w:szCs w:val="20"/>
        </w:rPr>
        <w:t>Insert Sponsor’s proposal due date and time</w:t>
      </w:r>
      <w:r w:rsidRPr="00636D98">
        <w:rPr>
          <w:sz w:val="20"/>
          <w:szCs w:val="20"/>
        </w:rPr>
        <w:t xml:space="preserve">].  </w:t>
      </w:r>
    </w:p>
    <w:p w14:paraId="7C8ABA02" w14:textId="77777777" w:rsidR="00636D98" w:rsidRPr="00636D98" w:rsidRDefault="00636D98" w:rsidP="00636D98">
      <w:pPr>
        <w:spacing w:after="0"/>
        <w:ind w:left="1080"/>
        <w:rPr>
          <w:sz w:val="20"/>
          <w:szCs w:val="20"/>
        </w:rPr>
      </w:pPr>
      <w:r w:rsidRPr="00636D98">
        <w:rPr>
          <w:sz w:val="20"/>
          <w:szCs w:val="20"/>
        </w:rPr>
        <w:t xml:space="preserve">Example:  Proposal-Torres-Math Department-DoD-Due 6/30/2023-2pm. </w:t>
      </w:r>
    </w:p>
    <w:p w14:paraId="710ECFF1" w14:textId="77777777" w:rsidR="00636D98" w:rsidRPr="00636D98" w:rsidRDefault="00636D98" w:rsidP="00636D98">
      <w:pPr>
        <w:spacing w:after="0"/>
        <w:ind w:left="1080"/>
        <w:rPr>
          <w:sz w:val="20"/>
          <w:szCs w:val="20"/>
        </w:rPr>
      </w:pPr>
    </w:p>
    <w:p w14:paraId="604C3C12" w14:textId="77777777" w:rsidR="00636D98" w:rsidRPr="00636D98" w:rsidRDefault="00636D98" w:rsidP="00636D98">
      <w:pPr>
        <w:ind w:left="360"/>
        <w:rPr>
          <w:b/>
          <w:bCs/>
          <w:sz w:val="20"/>
          <w:szCs w:val="20"/>
        </w:rPr>
      </w:pPr>
      <w:r w:rsidRPr="00636D98">
        <w:rPr>
          <w:b/>
          <w:bCs/>
          <w:sz w:val="20"/>
          <w:szCs w:val="20"/>
        </w:rPr>
        <w:t xml:space="preserve">Step 3.  </w:t>
      </w:r>
    </w:p>
    <w:p w14:paraId="67A9718D" w14:textId="77777777" w:rsidR="00636D98" w:rsidRPr="00636D98" w:rsidRDefault="00636D98" w:rsidP="00636D98">
      <w:pPr>
        <w:spacing w:after="0" w:line="240" w:lineRule="auto"/>
        <w:ind w:left="360"/>
        <w:rPr>
          <w:sz w:val="20"/>
          <w:szCs w:val="20"/>
        </w:rPr>
      </w:pPr>
      <w:r w:rsidRPr="00636D98">
        <w:rPr>
          <w:sz w:val="20"/>
          <w:szCs w:val="20"/>
        </w:rPr>
        <w:t xml:space="preserve">The PI/Department will need to re-create the proposal in Kuali Research, using the Proposal Development module, beginning July 5, 2023, and submit the proposal to RED no later than July 12, 2023.  </w:t>
      </w:r>
    </w:p>
    <w:p w14:paraId="6A762774" w14:textId="77777777" w:rsidR="00636D98" w:rsidRPr="00636D98" w:rsidRDefault="00636D98" w:rsidP="00636D98">
      <w:pPr>
        <w:spacing w:after="0" w:line="240" w:lineRule="auto"/>
        <w:ind w:left="360"/>
        <w:rPr>
          <w:i/>
          <w:iCs/>
          <w:sz w:val="20"/>
          <w:szCs w:val="20"/>
        </w:rPr>
      </w:pPr>
      <w:r w:rsidRPr="00636D98">
        <w:rPr>
          <w:i/>
          <w:iCs/>
          <w:sz w:val="20"/>
          <w:szCs w:val="20"/>
        </w:rPr>
        <w:t xml:space="preserve">(Note:  Do </w:t>
      </w:r>
      <w:r w:rsidRPr="00636D98">
        <w:rPr>
          <w:i/>
          <w:iCs/>
          <w:sz w:val="20"/>
          <w:szCs w:val="20"/>
          <w:u w:val="single"/>
        </w:rPr>
        <w:t>not</w:t>
      </w:r>
      <w:r w:rsidRPr="00636D98">
        <w:rPr>
          <w:i/>
          <w:iCs/>
          <w:sz w:val="20"/>
          <w:szCs w:val="20"/>
        </w:rPr>
        <w:t xml:space="preserve"> utilize the S2S feature within the in Kuali proposal module for this after-the-fact proposal.) </w:t>
      </w:r>
    </w:p>
    <w:p w14:paraId="51D4894C" w14:textId="77777777" w:rsidR="00636D98" w:rsidRPr="000532AB" w:rsidRDefault="00636D98" w:rsidP="00636D98">
      <w:pPr>
        <w:spacing w:after="0" w:line="240" w:lineRule="auto"/>
        <w:rPr>
          <w:sz w:val="20"/>
          <w:szCs w:val="20"/>
        </w:rPr>
      </w:pPr>
    </w:p>
    <w:p w14:paraId="4B738395" w14:textId="77777777" w:rsidR="00636D98" w:rsidRDefault="00636D98"/>
    <w:sectPr w:rsidR="00636D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3" type="#_x0000_t75" style="width:11.25pt;height:11.25pt" o:bullet="t">
        <v:imagedata r:id="rId1" o:title="mso641C"/>
      </v:shape>
    </w:pict>
  </w:numPicBullet>
  <w:abstractNum w:abstractNumId="0" w15:restartNumberingAfterBreak="0">
    <w:nsid w:val="05F1150F"/>
    <w:multiLevelType w:val="hybridMultilevel"/>
    <w:tmpl w:val="42AC392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D9630C"/>
    <w:multiLevelType w:val="hybridMultilevel"/>
    <w:tmpl w:val="F0BAC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D57286"/>
    <w:multiLevelType w:val="hybridMultilevel"/>
    <w:tmpl w:val="EA928EB8"/>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38099934">
    <w:abstractNumId w:val="1"/>
  </w:num>
  <w:num w:numId="2" w16cid:durableId="1798186188">
    <w:abstractNumId w:val="2"/>
  </w:num>
  <w:num w:numId="3" w16cid:durableId="1954941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D98"/>
    <w:rsid w:val="00636D98"/>
    <w:rsid w:val="00A95B94"/>
    <w:rsid w:val="00DE2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B68C7"/>
  <w15:chartTrackingRefBased/>
  <w15:docId w15:val="{C8BAAF8A-F5DE-457A-A629-6F4C715B2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D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6D98"/>
    <w:rPr>
      <w:color w:val="0563C1" w:themeColor="hyperlink"/>
      <w:u w:val="single"/>
    </w:rPr>
  </w:style>
  <w:style w:type="paragraph" w:styleId="ListParagraph">
    <w:name w:val="List Paragraph"/>
    <w:basedOn w:val="Normal"/>
    <w:uiPriority w:val="34"/>
    <w:qFormat/>
    <w:rsid w:val="00636D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ettings" Target="settings.xml"/><Relationship Id="rId7" Type="http://schemas.openxmlformats.org/officeDocument/2006/relationships/hyperlink" Target="https://research.ucr.edu/sites/default/files/2022-03/paper_ecaf_fillable_final.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search.ucr.edu/spa" TargetMode="External"/><Relationship Id="rId11" Type="http://schemas.openxmlformats.org/officeDocument/2006/relationships/fontTable" Target="fontTable.xml"/><Relationship Id="rId5" Type="http://schemas.openxmlformats.org/officeDocument/2006/relationships/hyperlink" Target="https://research.ucr.edu/spa/ecaf" TargetMode="External"/><Relationship Id="rId10" Type="http://schemas.openxmlformats.org/officeDocument/2006/relationships/hyperlink" Target="https://research.ucr.edu/ori/pro" TargetMode="External"/><Relationship Id="rId4" Type="http://schemas.openxmlformats.org/officeDocument/2006/relationships/webSettings" Target="webSettings.xml"/><Relationship Id="rId9" Type="http://schemas.openxmlformats.org/officeDocument/2006/relationships/hyperlink" Target="mailto:proposals@ucr.ed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463</Words>
  <Characters>2644</Characters>
  <Application>Microsoft Office Word</Application>
  <DocSecurity>0</DocSecurity>
  <Lines>22</Lines>
  <Paragraphs>6</Paragraphs>
  <ScaleCrop>false</ScaleCrop>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-Jr E Greer</dc:creator>
  <cp:keywords/>
  <dc:description/>
  <cp:lastModifiedBy>Charles -Jr E Greer</cp:lastModifiedBy>
  <cp:revision>3</cp:revision>
  <cp:lastPrinted>2023-05-05T20:36:00Z</cp:lastPrinted>
  <dcterms:created xsi:type="dcterms:W3CDTF">2023-05-05T20:34:00Z</dcterms:created>
  <dcterms:modified xsi:type="dcterms:W3CDTF">2023-05-05T20:37:00Z</dcterms:modified>
</cp:coreProperties>
</file>