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0B66" w14:textId="558F9654" w:rsidR="002C51E5" w:rsidRPr="002C51E5" w:rsidRDefault="002C51E5" w:rsidP="002C51E5">
      <w:pPr>
        <w:pStyle w:val="ListParagraph"/>
        <w:numPr>
          <w:ilvl w:val="0"/>
          <w:numId w:val="1"/>
        </w:numPr>
        <w:tabs>
          <w:tab w:val="left" w:pos="360"/>
        </w:tabs>
        <w:ind w:hanging="990"/>
        <w:jc w:val="both"/>
        <w:rPr>
          <w:rStyle w:val="Emphasis"/>
          <w:rFonts w:ascii="Times New Roman" w:eastAsia="Times New Roman" w:hAnsi="Times New Roman" w:cs="Times New Roman"/>
          <w:b/>
          <w:bCs/>
          <w:color w:val="000000"/>
          <w:sz w:val="24"/>
          <w:szCs w:val="24"/>
        </w:rPr>
      </w:pPr>
      <w:r w:rsidRPr="002C51E5">
        <w:rPr>
          <w:rStyle w:val="Emphasis"/>
          <w:rFonts w:ascii="Times New Roman" w:eastAsia="Times New Roman" w:hAnsi="Times New Roman" w:cs="Times New Roman"/>
          <w:b/>
          <w:bCs/>
          <w:color w:val="000000"/>
          <w:sz w:val="24"/>
          <w:szCs w:val="24"/>
        </w:rPr>
        <w:t xml:space="preserve">Bioinformatics: </w:t>
      </w:r>
    </w:p>
    <w:p w14:paraId="78C6F033" w14:textId="01614EA0" w:rsidR="0064485C" w:rsidRPr="002C51E5" w:rsidRDefault="0064485C" w:rsidP="002C51E5">
      <w:pPr>
        <w:jc w:val="both"/>
        <w:rPr>
          <w:rFonts w:ascii="Times New Roman" w:eastAsia="Times New Roman" w:hAnsi="Times New Roman" w:cs="Times New Roman"/>
          <w:sz w:val="24"/>
          <w:szCs w:val="24"/>
        </w:rPr>
      </w:pPr>
      <w:r w:rsidRPr="002C51E5">
        <w:rPr>
          <w:rStyle w:val="Emphasis"/>
          <w:rFonts w:ascii="Times New Roman" w:eastAsia="Times New Roman" w:hAnsi="Times New Roman" w:cs="Times New Roman"/>
          <w:color w:val="000000"/>
          <w:sz w:val="24"/>
          <w:szCs w:val="24"/>
        </w:rPr>
        <w:t>Computing Facilities</w:t>
      </w:r>
    </w:p>
    <w:p w14:paraId="02F9C18D" w14:textId="77777777" w:rsidR="0064485C" w:rsidRPr="002C51E5" w:rsidRDefault="0064485C" w:rsidP="002C51E5">
      <w:pPr>
        <w:jc w:val="both"/>
        <w:rPr>
          <w:rFonts w:ascii="Times New Roman" w:eastAsia="Times New Roman" w:hAnsi="Times New Roman" w:cs="Times New Roman"/>
          <w:sz w:val="24"/>
          <w:szCs w:val="24"/>
        </w:rPr>
      </w:pPr>
      <w:r w:rsidRPr="002C51E5">
        <w:rPr>
          <w:rFonts w:ascii="Times New Roman" w:eastAsia="Times New Roman" w:hAnsi="Times New Roman" w:cs="Times New Roman"/>
          <w:color w:val="000000"/>
          <w:sz w:val="24"/>
          <w:szCs w:val="24"/>
        </w:rPr>
        <w:t xml:space="preserve">UC Riverside’s research computing infrastructure is provided by the High-Performance Computing Center (HPCC) located in the interdisciplinary Genomics building. HPCC is closely affiliated with UCR’s Institute for Integrative Genome Biology (IIGB) and Data Science Center. The former houses three additional technology cores including Genomics, Microscopy and Proteomics. The interdepartmental Genomics Building is centrally located on the UC Riverside campus. The space dedicated to the HPCC consists of a server room and several offices for systems administrators, the director of the center and up to six programmers, </w:t>
      </w:r>
      <w:proofErr w:type="gramStart"/>
      <w:r w:rsidRPr="002C51E5">
        <w:rPr>
          <w:rFonts w:ascii="Times New Roman" w:eastAsia="Times New Roman" w:hAnsi="Times New Roman" w:cs="Times New Roman"/>
          <w:color w:val="000000"/>
          <w:sz w:val="24"/>
          <w:szCs w:val="24"/>
        </w:rPr>
        <w:t>students</w:t>
      </w:r>
      <w:proofErr w:type="gramEnd"/>
      <w:r w:rsidRPr="002C51E5">
        <w:rPr>
          <w:rFonts w:ascii="Times New Roman" w:eastAsia="Times New Roman" w:hAnsi="Times New Roman" w:cs="Times New Roman"/>
          <w:color w:val="000000"/>
          <w:sz w:val="24"/>
          <w:szCs w:val="24"/>
        </w:rPr>
        <w:t xml:space="preserve"> and postdocs. A multifunctional lecture hall, available in the same building, is frequently used for hands-on data analysis workshops with up to 100 participants. All computing systems of the facility, including Linux clusters, web/database servers and data storage systems, </w:t>
      </w:r>
      <w:proofErr w:type="gramStart"/>
      <w:r w:rsidRPr="002C51E5">
        <w:rPr>
          <w:rFonts w:ascii="Times New Roman" w:eastAsia="Times New Roman" w:hAnsi="Times New Roman" w:cs="Times New Roman"/>
          <w:color w:val="000000"/>
          <w:sz w:val="24"/>
          <w:szCs w:val="24"/>
        </w:rPr>
        <w:t>are located in</w:t>
      </w:r>
      <w:proofErr w:type="gramEnd"/>
      <w:r w:rsidRPr="002C51E5">
        <w:rPr>
          <w:rFonts w:ascii="Times New Roman" w:eastAsia="Times New Roman" w:hAnsi="Times New Roman" w:cs="Times New Roman"/>
          <w:color w:val="000000"/>
          <w:sz w:val="24"/>
          <w:szCs w:val="24"/>
        </w:rPr>
        <w:t xml:space="preserve"> its state-of-the-art server room with 600 </w:t>
      </w:r>
      <w:proofErr w:type="spellStart"/>
      <w:r w:rsidRPr="002C51E5">
        <w:rPr>
          <w:rFonts w:ascii="Times New Roman" w:eastAsia="Times New Roman" w:hAnsi="Times New Roman" w:cs="Times New Roman"/>
          <w:color w:val="000000"/>
          <w:sz w:val="24"/>
          <w:szCs w:val="24"/>
        </w:rPr>
        <w:t>sqft</w:t>
      </w:r>
      <w:proofErr w:type="spellEnd"/>
      <w:r w:rsidRPr="002C51E5">
        <w:rPr>
          <w:rFonts w:ascii="Times New Roman" w:eastAsia="Times New Roman" w:hAnsi="Times New Roman" w:cs="Times New Roman"/>
          <w:color w:val="000000"/>
          <w:sz w:val="24"/>
          <w:szCs w:val="24"/>
        </w:rPr>
        <w:t xml:space="preserve"> of compute rack space. The server room has a raised floor cooling system with 2x 25 tons of redundant AC cooling and uninterrupted power is provided by a large 75KVA UPS and backup power generator. Its network is provided by a 2 x 40Gbps connection to central campus and the </w:t>
      </w:r>
      <w:proofErr w:type="spellStart"/>
      <w:r w:rsidRPr="002C51E5">
        <w:rPr>
          <w:rFonts w:ascii="Times New Roman" w:eastAsia="Times New Roman" w:hAnsi="Times New Roman" w:cs="Times New Roman"/>
          <w:color w:val="000000"/>
          <w:sz w:val="24"/>
          <w:szCs w:val="24"/>
        </w:rPr>
        <w:t>CalREN</w:t>
      </w:r>
      <w:proofErr w:type="spellEnd"/>
      <w:r w:rsidRPr="002C51E5">
        <w:rPr>
          <w:rFonts w:ascii="Times New Roman" w:eastAsia="Times New Roman" w:hAnsi="Times New Roman" w:cs="Times New Roman"/>
          <w:color w:val="000000"/>
          <w:sz w:val="24"/>
          <w:szCs w:val="24"/>
        </w:rPr>
        <w:t xml:space="preserve"> High Performance Research Network, which is part of the Internet2, along with a 10Gbps connection to commodity internet. A secondary, co-located server room is utilized as part of the central campus data center to provide a geographically separated location for backups of production systems and data. </w:t>
      </w:r>
    </w:p>
    <w:p w14:paraId="4282FCCA" w14:textId="77777777" w:rsidR="0064485C" w:rsidRPr="002C51E5" w:rsidRDefault="0064485C" w:rsidP="002C51E5">
      <w:pPr>
        <w:jc w:val="both"/>
        <w:rPr>
          <w:rFonts w:ascii="Times New Roman" w:eastAsia="Times New Roman" w:hAnsi="Times New Roman" w:cs="Times New Roman"/>
          <w:sz w:val="24"/>
          <w:szCs w:val="24"/>
        </w:rPr>
      </w:pPr>
    </w:p>
    <w:p w14:paraId="36289E90" w14:textId="77777777" w:rsidR="0064485C" w:rsidRPr="002C51E5" w:rsidRDefault="0064485C" w:rsidP="002C51E5">
      <w:pPr>
        <w:jc w:val="both"/>
        <w:rPr>
          <w:rFonts w:ascii="Times New Roman" w:eastAsia="Times New Roman" w:hAnsi="Times New Roman" w:cs="Times New Roman"/>
          <w:sz w:val="24"/>
          <w:szCs w:val="24"/>
        </w:rPr>
      </w:pPr>
      <w:r w:rsidRPr="002C51E5">
        <w:rPr>
          <w:rStyle w:val="Emphasis"/>
          <w:rFonts w:ascii="Times New Roman" w:eastAsia="Times New Roman" w:hAnsi="Times New Roman" w:cs="Times New Roman"/>
          <w:color w:val="000000"/>
          <w:sz w:val="24"/>
          <w:szCs w:val="24"/>
        </w:rPr>
        <w:t>Computer Hardware</w:t>
      </w:r>
      <w:r w:rsidRPr="002C51E5">
        <w:rPr>
          <w:rFonts w:ascii="Times New Roman" w:eastAsia="Times New Roman" w:hAnsi="Times New Roman" w:cs="Times New Roman"/>
          <w:color w:val="000000"/>
          <w:sz w:val="24"/>
          <w:szCs w:val="24"/>
        </w:rPr>
        <w:t> </w:t>
      </w:r>
    </w:p>
    <w:p w14:paraId="4F57C83D" w14:textId="77777777" w:rsidR="0064485C" w:rsidRPr="002C51E5" w:rsidRDefault="0064485C" w:rsidP="002C51E5">
      <w:pPr>
        <w:jc w:val="both"/>
        <w:rPr>
          <w:rFonts w:ascii="Times New Roman" w:eastAsia="Times New Roman" w:hAnsi="Times New Roman" w:cs="Times New Roman"/>
          <w:sz w:val="24"/>
          <w:szCs w:val="24"/>
        </w:rPr>
      </w:pPr>
      <w:r w:rsidRPr="002C51E5">
        <w:rPr>
          <w:rFonts w:ascii="Times New Roman" w:eastAsia="Times New Roman" w:hAnsi="Times New Roman" w:cs="Times New Roman"/>
          <w:color w:val="000000"/>
          <w:sz w:val="24"/>
          <w:szCs w:val="24"/>
        </w:rPr>
        <w:t>(a) </w:t>
      </w:r>
      <w:r w:rsidRPr="002C51E5">
        <w:rPr>
          <w:rStyle w:val="Emphasis"/>
          <w:rFonts w:ascii="Times New Roman" w:eastAsia="Times New Roman" w:hAnsi="Times New Roman" w:cs="Times New Roman"/>
          <w:color w:val="000000"/>
          <w:sz w:val="24"/>
          <w:szCs w:val="24"/>
        </w:rPr>
        <w:t>CPU and Memory Resources</w:t>
      </w:r>
      <w:r w:rsidRPr="002C51E5">
        <w:rPr>
          <w:rFonts w:ascii="Times New Roman" w:eastAsia="Times New Roman" w:hAnsi="Times New Roman" w:cs="Times New Roman"/>
          <w:color w:val="000000"/>
          <w:sz w:val="24"/>
          <w:szCs w:val="24"/>
        </w:rPr>
        <w:t xml:space="preserve">. The Research Computing Facility’s main computer cluster provides access to over 16,000 CPU cores, 120TB of total RAM, and FDR, HDR and NDR </w:t>
      </w:r>
      <w:proofErr w:type="spellStart"/>
      <w:r w:rsidRPr="002C51E5">
        <w:rPr>
          <w:rFonts w:ascii="Times New Roman" w:eastAsia="Times New Roman" w:hAnsi="Times New Roman" w:cs="Times New Roman"/>
          <w:color w:val="000000"/>
          <w:sz w:val="24"/>
          <w:szCs w:val="24"/>
        </w:rPr>
        <w:t>Infiniband</w:t>
      </w:r>
      <w:proofErr w:type="spellEnd"/>
      <w:r w:rsidRPr="002C51E5">
        <w:rPr>
          <w:rFonts w:ascii="Times New Roman" w:eastAsia="Times New Roman" w:hAnsi="Times New Roman" w:cs="Times New Roman"/>
          <w:color w:val="000000"/>
          <w:sz w:val="24"/>
          <w:szCs w:val="24"/>
        </w:rPr>
        <w:t xml:space="preserve"> interconnects @ 56-200Gbs. For memory intensive tasks, 128 high-memory nodes are available each with 512-1,024GB of usable RAM. The queuing system, scheduler and resource manager on the cluster are based on </w:t>
      </w:r>
      <w:proofErr w:type="spellStart"/>
      <w:r w:rsidRPr="002C51E5">
        <w:rPr>
          <w:rFonts w:ascii="Times New Roman" w:eastAsia="Times New Roman" w:hAnsi="Times New Roman" w:cs="Times New Roman"/>
          <w:color w:val="000000"/>
          <w:sz w:val="24"/>
          <w:szCs w:val="24"/>
        </w:rPr>
        <w:t>Slurm</w:t>
      </w:r>
      <w:proofErr w:type="spellEnd"/>
      <w:r w:rsidRPr="002C51E5">
        <w:rPr>
          <w:rFonts w:ascii="Times New Roman" w:eastAsia="Times New Roman" w:hAnsi="Times New Roman" w:cs="Times New Roman"/>
          <w:color w:val="000000"/>
          <w:sz w:val="24"/>
          <w:szCs w:val="24"/>
        </w:rPr>
        <w:t>. GPU-based computations are supported by 24x K80, 2x P100, 24x A100 NVIDIA GPUs. Computations can utilize up to 8x A100 GPUs in parallel. To administer the individual compute nodes, the facility makes heavy use of Ansible for configuration management, Jenkins for business process automation and Zabbix for graphing, monitoring trends in the operational environment and alerting.</w:t>
      </w:r>
    </w:p>
    <w:p w14:paraId="75A9A266" w14:textId="77777777" w:rsidR="0064485C" w:rsidRPr="002C51E5" w:rsidRDefault="0064485C" w:rsidP="002C51E5">
      <w:pPr>
        <w:jc w:val="both"/>
        <w:rPr>
          <w:rFonts w:ascii="Times New Roman" w:eastAsia="Times New Roman" w:hAnsi="Times New Roman" w:cs="Times New Roman"/>
          <w:sz w:val="24"/>
          <w:szCs w:val="24"/>
        </w:rPr>
      </w:pPr>
      <w:r w:rsidRPr="002C51E5">
        <w:rPr>
          <w:rFonts w:ascii="Times New Roman" w:eastAsia="Times New Roman" w:hAnsi="Times New Roman" w:cs="Times New Roman"/>
          <w:color w:val="000000"/>
          <w:sz w:val="24"/>
          <w:szCs w:val="24"/>
        </w:rPr>
        <w:t>(b) </w:t>
      </w:r>
      <w:r w:rsidRPr="002C51E5">
        <w:rPr>
          <w:rStyle w:val="Emphasis"/>
          <w:rFonts w:ascii="Times New Roman" w:eastAsia="Times New Roman" w:hAnsi="Times New Roman" w:cs="Times New Roman"/>
          <w:color w:val="000000"/>
          <w:sz w:val="24"/>
          <w:szCs w:val="24"/>
        </w:rPr>
        <w:t>Central Data Storage System</w:t>
      </w:r>
      <w:r w:rsidRPr="002C51E5">
        <w:rPr>
          <w:rFonts w:ascii="Times New Roman" w:eastAsia="Times New Roman" w:hAnsi="Times New Roman" w:cs="Times New Roman"/>
          <w:color w:val="000000"/>
          <w:sz w:val="24"/>
          <w:szCs w:val="24"/>
        </w:rPr>
        <w:t>. The current data storage system is a GPFS-based parallel storage system with a total of over 6,000 TB (6PB) of raw disk storage space organized across two tiers, both being fully backed up to a geographically separated server room with a similar amount of storage capacity (~6PB). Our storage consists of enterprise 12Gb/s SAS drives. The data from all production systems are replicated via nightly differential backup protocols. </w:t>
      </w:r>
    </w:p>
    <w:p w14:paraId="07C825E2" w14:textId="77777777" w:rsidR="0064485C" w:rsidRPr="002C51E5" w:rsidRDefault="0064485C" w:rsidP="002C51E5">
      <w:pPr>
        <w:jc w:val="both"/>
        <w:rPr>
          <w:rFonts w:ascii="Times New Roman" w:eastAsia="Times New Roman" w:hAnsi="Times New Roman" w:cs="Times New Roman"/>
          <w:sz w:val="24"/>
          <w:szCs w:val="24"/>
        </w:rPr>
      </w:pPr>
    </w:p>
    <w:p w14:paraId="24620846" w14:textId="77777777" w:rsidR="0064485C" w:rsidRPr="002C51E5" w:rsidRDefault="0064485C" w:rsidP="002C51E5">
      <w:pPr>
        <w:jc w:val="both"/>
        <w:rPr>
          <w:rFonts w:ascii="Times New Roman" w:eastAsia="Times New Roman" w:hAnsi="Times New Roman" w:cs="Times New Roman"/>
          <w:sz w:val="24"/>
          <w:szCs w:val="24"/>
        </w:rPr>
      </w:pPr>
      <w:r w:rsidRPr="002C51E5">
        <w:rPr>
          <w:rStyle w:val="Emphasis"/>
          <w:rFonts w:ascii="Times New Roman" w:eastAsia="Times New Roman" w:hAnsi="Times New Roman" w:cs="Times New Roman"/>
          <w:color w:val="000000"/>
          <w:sz w:val="24"/>
          <w:szCs w:val="24"/>
        </w:rPr>
        <w:t>Software Resources</w:t>
      </w:r>
    </w:p>
    <w:p w14:paraId="5FE42F9B" w14:textId="77777777" w:rsidR="0064485C" w:rsidRPr="002C51E5" w:rsidRDefault="0064485C" w:rsidP="002C51E5">
      <w:pPr>
        <w:jc w:val="both"/>
        <w:rPr>
          <w:rFonts w:ascii="Times New Roman" w:eastAsia="Times New Roman" w:hAnsi="Times New Roman" w:cs="Times New Roman"/>
          <w:sz w:val="24"/>
          <w:szCs w:val="24"/>
        </w:rPr>
      </w:pPr>
      <w:r w:rsidRPr="002C51E5">
        <w:rPr>
          <w:rFonts w:ascii="Times New Roman" w:eastAsia="Times New Roman" w:hAnsi="Times New Roman" w:cs="Times New Roman"/>
          <w:color w:val="000000"/>
          <w:sz w:val="24"/>
          <w:szCs w:val="24"/>
        </w:rPr>
        <w:t xml:space="preserve">The facility is strongly committed to maintaining a comprehensive software infrastructure for research applications in applied and basic biosciences. Currently, it maintains over 800 </w:t>
      </w:r>
      <w:proofErr w:type="gramStart"/>
      <w:r w:rsidRPr="002C51E5">
        <w:rPr>
          <w:rFonts w:ascii="Times New Roman" w:eastAsia="Times New Roman" w:hAnsi="Times New Roman" w:cs="Times New Roman"/>
          <w:color w:val="000000"/>
          <w:sz w:val="24"/>
          <w:szCs w:val="24"/>
        </w:rPr>
        <w:t>open source</w:t>
      </w:r>
      <w:proofErr w:type="gramEnd"/>
      <w:r w:rsidRPr="002C51E5">
        <w:rPr>
          <w:rFonts w:ascii="Times New Roman" w:eastAsia="Times New Roman" w:hAnsi="Times New Roman" w:cs="Times New Roman"/>
          <w:color w:val="000000"/>
          <w:sz w:val="24"/>
          <w:szCs w:val="24"/>
        </w:rPr>
        <w:t xml:space="preserve"> bioinformatics software packages for deep learning, NGS analysis, comparative genomics, data mining, statistics, molecular modeling, cheminformatics, evolutionary biology, and all common programming environments. In areas depending on commercial software applications, the facility also provides access to a smaller number of commercial software tools. The primary focus on freely available and </w:t>
      </w:r>
      <w:proofErr w:type="gramStart"/>
      <w:r w:rsidRPr="002C51E5">
        <w:rPr>
          <w:rFonts w:ascii="Times New Roman" w:eastAsia="Times New Roman" w:hAnsi="Times New Roman" w:cs="Times New Roman"/>
          <w:color w:val="000000"/>
          <w:sz w:val="24"/>
          <w:szCs w:val="24"/>
        </w:rPr>
        <w:t>open source</w:t>
      </w:r>
      <w:proofErr w:type="gramEnd"/>
      <w:r w:rsidRPr="002C51E5">
        <w:rPr>
          <w:rFonts w:ascii="Times New Roman" w:eastAsia="Times New Roman" w:hAnsi="Times New Roman" w:cs="Times New Roman"/>
          <w:color w:val="000000"/>
          <w:sz w:val="24"/>
          <w:szCs w:val="24"/>
        </w:rPr>
        <w:t xml:space="preserve"> software offers access to the widest spectrum of software tools with the most advanced algorithms, and it maximizes freedom to operate in a highly diverse and multidisciplinary academic research environment.</w:t>
      </w:r>
    </w:p>
    <w:p w14:paraId="5BAD1612" w14:textId="18BCEF14" w:rsidR="002C51E5" w:rsidRPr="002C51E5" w:rsidRDefault="002C51E5" w:rsidP="002C51E5">
      <w:pPr>
        <w:tabs>
          <w:tab w:val="left" w:pos="360"/>
        </w:tabs>
        <w:spacing w:before="60" w:afterLines="60" w:after="144"/>
        <w:jc w:val="both"/>
        <w:rPr>
          <w:rFonts w:ascii="Times New Roman" w:eastAsia="Times New Roman" w:hAnsi="Times New Roman" w:cs="Times New Roman"/>
          <w:b/>
          <w:bCs/>
          <w:sz w:val="24"/>
          <w:szCs w:val="24"/>
        </w:rPr>
      </w:pPr>
      <w:r w:rsidRPr="002C51E5">
        <w:rPr>
          <w:rFonts w:ascii="Times New Roman" w:eastAsia="Times New Roman" w:hAnsi="Times New Roman" w:cs="Times New Roman"/>
          <w:b/>
          <w:bCs/>
          <w:sz w:val="24"/>
          <w:szCs w:val="24"/>
        </w:rPr>
        <w:lastRenderedPageBreak/>
        <w:t xml:space="preserve">II. </w:t>
      </w:r>
      <w:r w:rsidRPr="002C51E5">
        <w:rPr>
          <w:rFonts w:ascii="Times New Roman" w:eastAsia="Times New Roman" w:hAnsi="Times New Roman" w:cs="Times New Roman"/>
          <w:b/>
          <w:bCs/>
          <w:sz w:val="24"/>
          <w:szCs w:val="24"/>
        </w:rPr>
        <w:tab/>
        <w:t>Genomics Core Facility</w:t>
      </w:r>
    </w:p>
    <w:p w14:paraId="1A349AA4" w14:textId="77777777" w:rsidR="002C51E5" w:rsidRPr="002C51E5" w:rsidRDefault="002C51E5" w:rsidP="002C51E5">
      <w:pPr>
        <w:spacing w:before="60" w:afterLines="60" w:after="144"/>
        <w:ind w:hanging="90"/>
        <w:jc w:val="both"/>
        <w:rPr>
          <w:rFonts w:ascii="Times New Roman" w:hAnsi="Times New Roman" w:cs="Times New Roman"/>
          <w:sz w:val="24"/>
          <w:szCs w:val="24"/>
        </w:rPr>
      </w:pPr>
      <w:r w:rsidRPr="002C51E5">
        <w:rPr>
          <w:rFonts w:ascii="Times New Roman" w:hAnsi="Times New Roman" w:cs="Times New Roman"/>
          <w:sz w:val="24"/>
          <w:szCs w:val="24"/>
        </w:rPr>
        <w:t xml:space="preserve"> The Genomics Core Facility in the Institute for Integrative Genome Biology (IIGB) provides technical, instrument, and professional support for research and education. It is located on the 2nd floor of Keen Hall and has been established for more than 20 years. It offers full services in high throughput sequencing as well as user-operated instrumentation. The Genomics Core supports the campus research enterprise with tools for handling genotyping, genomic, transcriptomic, epigenomic, single-cell, and spatial sequencing, and many other exciting investigations in biotechnology and agriculture fields. </w:t>
      </w:r>
    </w:p>
    <w:p w14:paraId="504D924F" w14:textId="77777777" w:rsidR="002C51E5" w:rsidRPr="002C51E5" w:rsidRDefault="002C51E5" w:rsidP="002C51E5">
      <w:pPr>
        <w:spacing w:before="60" w:afterLines="60" w:after="144"/>
        <w:ind w:hanging="90"/>
        <w:jc w:val="both"/>
        <w:rPr>
          <w:rFonts w:ascii="Times New Roman" w:eastAsia="Times New Roman" w:hAnsi="Times New Roman" w:cs="Times New Roman"/>
          <w:b/>
          <w:bCs/>
          <w:i/>
          <w:sz w:val="24"/>
          <w:szCs w:val="24"/>
        </w:rPr>
      </w:pPr>
      <w:r w:rsidRPr="002C51E5">
        <w:rPr>
          <w:rFonts w:ascii="Times New Roman" w:eastAsia="Times New Roman" w:hAnsi="Times New Roman" w:cs="Times New Roman"/>
          <w:b/>
          <w:bCs/>
          <w:i/>
          <w:sz w:val="24"/>
          <w:szCs w:val="24"/>
        </w:rPr>
        <w:t>a) Genotyping by Sanger sequencing</w:t>
      </w:r>
    </w:p>
    <w:p w14:paraId="4AF2B3A5" w14:textId="77777777" w:rsidR="002C51E5" w:rsidRPr="002C51E5" w:rsidRDefault="002C51E5" w:rsidP="002C51E5">
      <w:pPr>
        <w:spacing w:before="60" w:afterLines="60" w:after="144"/>
        <w:ind w:hanging="90"/>
        <w:jc w:val="both"/>
        <w:rPr>
          <w:rFonts w:ascii="Times New Roman" w:hAnsi="Times New Roman" w:cs="Times New Roman"/>
          <w:sz w:val="24"/>
          <w:szCs w:val="24"/>
        </w:rPr>
      </w:pPr>
      <w:r w:rsidRPr="002C51E5">
        <w:rPr>
          <w:rFonts w:ascii="Times New Roman" w:hAnsi="Times New Roman" w:cs="Times New Roman"/>
          <w:sz w:val="24"/>
          <w:szCs w:val="24"/>
        </w:rPr>
        <w:t xml:space="preserve">Sanger sequencing is still the gold standard in terms of accuracy and is used worldwide for the low-cost sequencing of plasmid and PCR templates. For routine Sanger sequencing, the facility utilizes a 96-capillary </w:t>
      </w:r>
      <w:r w:rsidRPr="002C51E5">
        <w:rPr>
          <w:rFonts w:ascii="Times New Roman" w:hAnsi="Times New Roman" w:cs="Times New Roman"/>
          <w:b/>
          <w:bCs/>
          <w:sz w:val="24"/>
          <w:szCs w:val="24"/>
          <w:u w:val="single"/>
        </w:rPr>
        <w:t>Applied Biosystems 3730 XL Genetic Analyzer</w:t>
      </w:r>
      <w:r w:rsidRPr="002C51E5">
        <w:rPr>
          <w:rFonts w:ascii="Times New Roman" w:hAnsi="Times New Roman" w:cs="Times New Roman"/>
          <w:sz w:val="24"/>
          <w:szCs w:val="24"/>
        </w:rPr>
        <w:t xml:space="preserve">. This instrument is operated by core personnel to sequence PCR products and plasmids. Sequencing of cloned inserts or PCR products is done by DNA polymerase-mediated linear amplification of templates in the presence of mixtures of dNTPs and fluorescently labeled </w:t>
      </w:r>
      <w:proofErr w:type="spellStart"/>
      <w:r w:rsidRPr="002C51E5">
        <w:rPr>
          <w:rFonts w:ascii="Times New Roman" w:hAnsi="Times New Roman" w:cs="Times New Roman"/>
          <w:sz w:val="24"/>
          <w:szCs w:val="24"/>
        </w:rPr>
        <w:t>dideoxynucleotide</w:t>
      </w:r>
      <w:proofErr w:type="spellEnd"/>
      <w:r w:rsidRPr="002C51E5">
        <w:rPr>
          <w:rFonts w:ascii="Times New Roman" w:hAnsi="Times New Roman" w:cs="Times New Roman"/>
          <w:sz w:val="24"/>
          <w:szCs w:val="24"/>
        </w:rPr>
        <w:t xml:space="preserve"> triphosphates (Sanger method), followed by fractionation of the extension products by capillary electrophoresis using the 3730XL.</w:t>
      </w:r>
    </w:p>
    <w:p w14:paraId="5BE29DB4" w14:textId="77777777" w:rsidR="002C51E5" w:rsidRPr="002C51E5" w:rsidRDefault="002C51E5" w:rsidP="002C51E5">
      <w:pPr>
        <w:spacing w:before="60" w:afterLines="60" w:after="144"/>
        <w:ind w:hanging="90"/>
        <w:jc w:val="both"/>
        <w:rPr>
          <w:rFonts w:ascii="Times New Roman" w:eastAsia="Times New Roman" w:hAnsi="Times New Roman" w:cs="Times New Roman"/>
          <w:b/>
          <w:bCs/>
          <w:i/>
          <w:sz w:val="24"/>
          <w:szCs w:val="24"/>
        </w:rPr>
      </w:pPr>
      <w:r w:rsidRPr="002C51E5">
        <w:rPr>
          <w:rFonts w:ascii="Times New Roman" w:eastAsia="Times New Roman" w:hAnsi="Times New Roman" w:cs="Times New Roman"/>
          <w:b/>
          <w:bCs/>
          <w:i/>
          <w:sz w:val="24"/>
          <w:szCs w:val="24"/>
        </w:rPr>
        <w:t xml:space="preserve"> b) Next-generation Sequencing</w:t>
      </w:r>
    </w:p>
    <w:p w14:paraId="1FC8D749" w14:textId="77777777" w:rsidR="002C51E5" w:rsidRPr="002C51E5" w:rsidRDefault="002C51E5" w:rsidP="002C51E5">
      <w:pPr>
        <w:spacing w:before="60" w:afterLines="60" w:after="144"/>
        <w:ind w:hanging="90"/>
        <w:jc w:val="both"/>
        <w:rPr>
          <w:rFonts w:ascii="Times New Roman" w:hAnsi="Times New Roman" w:cs="Times New Roman"/>
          <w:sz w:val="24"/>
          <w:szCs w:val="24"/>
        </w:rPr>
      </w:pPr>
      <w:r w:rsidRPr="002C51E5">
        <w:rPr>
          <w:rFonts w:ascii="Times New Roman" w:hAnsi="Times New Roman" w:cs="Times New Roman"/>
          <w:sz w:val="24"/>
          <w:szCs w:val="24"/>
        </w:rPr>
        <w:t xml:space="preserve"> The Genomics Core houses several Illumina sequencing systems including </w:t>
      </w:r>
      <w:proofErr w:type="spellStart"/>
      <w:r w:rsidRPr="002C51E5">
        <w:rPr>
          <w:rFonts w:ascii="Times New Roman" w:hAnsi="Times New Roman" w:cs="Times New Roman"/>
          <w:sz w:val="24"/>
          <w:szCs w:val="24"/>
        </w:rPr>
        <w:t>MiSeq</w:t>
      </w:r>
      <w:proofErr w:type="spellEnd"/>
      <w:r w:rsidRPr="002C51E5">
        <w:rPr>
          <w:rFonts w:ascii="Times New Roman" w:hAnsi="Times New Roman" w:cs="Times New Roman"/>
          <w:sz w:val="24"/>
          <w:szCs w:val="24"/>
        </w:rPr>
        <w:t xml:space="preserve"> instrument; 1 Illumina NextSeq500 sequencers. To assist in sample prep, the Genomics Core houses instrumentation for DNA fragmentation (</w:t>
      </w:r>
      <w:proofErr w:type="spellStart"/>
      <w:r w:rsidRPr="002C51E5">
        <w:rPr>
          <w:rFonts w:ascii="Times New Roman" w:hAnsi="Times New Roman" w:cs="Times New Roman"/>
          <w:sz w:val="24"/>
          <w:szCs w:val="24"/>
        </w:rPr>
        <w:t>Covaris</w:t>
      </w:r>
      <w:proofErr w:type="spellEnd"/>
      <w:r w:rsidRPr="002C51E5">
        <w:rPr>
          <w:rFonts w:ascii="Times New Roman" w:hAnsi="Times New Roman" w:cs="Times New Roman"/>
          <w:sz w:val="24"/>
          <w:szCs w:val="24"/>
        </w:rPr>
        <w:t xml:space="preserve"> S220, </w:t>
      </w:r>
      <w:proofErr w:type="spellStart"/>
      <w:r w:rsidRPr="002C51E5">
        <w:rPr>
          <w:rFonts w:ascii="Times New Roman" w:hAnsi="Times New Roman" w:cs="Times New Roman"/>
          <w:sz w:val="24"/>
          <w:szCs w:val="24"/>
        </w:rPr>
        <w:t>Bioruptor</w:t>
      </w:r>
      <w:proofErr w:type="spellEnd"/>
      <w:r w:rsidRPr="002C51E5">
        <w:rPr>
          <w:rFonts w:ascii="Times New Roman" w:hAnsi="Times New Roman" w:cs="Times New Roman"/>
          <w:sz w:val="24"/>
          <w:szCs w:val="24"/>
        </w:rPr>
        <w:t>), size selection (</w:t>
      </w:r>
      <w:proofErr w:type="spellStart"/>
      <w:r w:rsidRPr="002C51E5">
        <w:rPr>
          <w:rFonts w:ascii="Times New Roman" w:hAnsi="Times New Roman" w:cs="Times New Roman"/>
          <w:sz w:val="24"/>
          <w:szCs w:val="24"/>
        </w:rPr>
        <w:t>eGel</w:t>
      </w:r>
      <w:proofErr w:type="spellEnd"/>
      <w:r w:rsidRPr="002C51E5">
        <w:rPr>
          <w:rFonts w:ascii="Times New Roman" w:hAnsi="Times New Roman" w:cs="Times New Roman"/>
          <w:sz w:val="24"/>
          <w:szCs w:val="24"/>
        </w:rPr>
        <w:t xml:space="preserve"> system, Blue Pipin), quantification (qPCR, Qubit), and the quality control of libraries (Agilent Bioanalyzer and recently acquired Advanced Analytical Sciences Fragment Analyzer for higher throughput QC).</w:t>
      </w:r>
    </w:p>
    <w:p w14:paraId="76F7DDA3"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hAnsi="Times New Roman" w:cs="Times New Roman"/>
          <w:bCs/>
          <w:color w:val="000000" w:themeColor="text1"/>
          <w:sz w:val="24"/>
          <w:szCs w:val="24"/>
        </w:rPr>
        <w:t xml:space="preserve">UCR Genomics Core was one of the first institutions on the West Coast to offer next-generation sequencing (NGS) services. Currently, the Genomics Core houses three Illumina sequencing platforms, </w:t>
      </w:r>
      <w:proofErr w:type="spellStart"/>
      <w:r w:rsidRPr="002C51E5">
        <w:rPr>
          <w:rFonts w:ascii="Times New Roman" w:hAnsi="Times New Roman" w:cs="Times New Roman"/>
          <w:b/>
          <w:color w:val="000000" w:themeColor="text1"/>
          <w:sz w:val="24"/>
          <w:szCs w:val="24"/>
          <w:u w:val="single"/>
        </w:rPr>
        <w:t>MiSeq</w:t>
      </w:r>
      <w:proofErr w:type="spellEnd"/>
      <w:r w:rsidRPr="002C51E5">
        <w:rPr>
          <w:rFonts w:ascii="Times New Roman" w:hAnsi="Times New Roman" w:cs="Times New Roman"/>
          <w:bCs/>
          <w:color w:val="000000" w:themeColor="text1"/>
          <w:sz w:val="24"/>
          <w:szCs w:val="24"/>
        </w:rPr>
        <w:t xml:space="preserve">, </w:t>
      </w:r>
      <w:proofErr w:type="spellStart"/>
      <w:r w:rsidRPr="002C51E5">
        <w:rPr>
          <w:rFonts w:ascii="Times New Roman" w:hAnsi="Times New Roman" w:cs="Times New Roman"/>
          <w:b/>
          <w:color w:val="000000" w:themeColor="text1"/>
          <w:sz w:val="24"/>
          <w:szCs w:val="24"/>
          <w:u w:val="single"/>
        </w:rPr>
        <w:t>NextSeq</w:t>
      </w:r>
      <w:proofErr w:type="spellEnd"/>
      <w:r w:rsidRPr="002C51E5">
        <w:rPr>
          <w:rFonts w:ascii="Times New Roman" w:hAnsi="Times New Roman" w:cs="Times New Roman"/>
          <w:b/>
          <w:color w:val="000000" w:themeColor="text1"/>
          <w:sz w:val="24"/>
          <w:szCs w:val="24"/>
          <w:u w:val="single"/>
        </w:rPr>
        <w:t xml:space="preserve"> 500</w:t>
      </w:r>
      <w:r w:rsidRPr="002C51E5">
        <w:rPr>
          <w:rFonts w:ascii="Times New Roman" w:hAnsi="Times New Roman" w:cs="Times New Roman"/>
          <w:bCs/>
          <w:color w:val="000000" w:themeColor="text1"/>
          <w:sz w:val="24"/>
          <w:szCs w:val="24"/>
        </w:rPr>
        <w:t xml:space="preserve">, and </w:t>
      </w:r>
      <w:proofErr w:type="spellStart"/>
      <w:r w:rsidRPr="002C51E5">
        <w:rPr>
          <w:rFonts w:ascii="Times New Roman" w:hAnsi="Times New Roman" w:cs="Times New Roman"/>
          <w:b/>
          <w:color w:val="000000" w:themeColor="text1"/>
          <w:sz w:val="24"/>
          <w:szCs w:val="24"/>
          <w:u w:val="single"/>
        </w:rPr>
        <w:t>NextSeq</w:t>
      </w:r>
      <w:proofErr w:type="spellEnd"/>
      <w:r w:rsidRPr="002C51E5">
        <w:rPr>
          <w:rFonts w:ascii="Times New Roman" w:hAnsi="Times New Roman" w:cs="Times New Roman"/>
          <w:b/>
          <w:color w:val="000000" w:themeColor="text1"/>
          <w:sz w:val="24"/>
          <w:szCs w:val="24"/>
          <w:u w:val="single"/>
        </w:rPr>
        <w:t xml:space="preserve"> 2000</w:t>
      </w:r>
      <w:r w:rsidRPr="002C51E5">
        <w:rPr>
          <w:rFonts w:ascii="Times New Roman" w:hAnsi="Times New Roman" w:cs="Times New Roman"/>
          <w:bCs/>
          <w:color w:val="000000" w:themeColor="text1"/>
          <w:sz w:val="24"/>
          <w:szCs w:val="24"/>
        </w:rPr>
        <w:t>, which are extensively used for next-generation sequencing services, including whole-genome sequencing, transcriptomics, epigenomics, and single-cell and spatial sequencing.</w:t>
      </w:r>
    </w:p>
    <w:p w14:paraId="1DFEB96B"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eastAsia="Arial" w:hAnsi="Times New Roman" w:cs="Times New Roman"/>
          <w:b/>
          <w:sz w:val="24"/>
          <w:szCs w:val="24"/>
          <w:u w:val="single"/>
        </w:rPr>
        <w:t xml:space="preserve">Illumina </w:t>
      </w:r>
      <w:proofErr w:type="spellStart"/>
      <w:r w:rsidRPr="002C51E5">
        <w:rPr>
          <w:rFonts w:ascii="Times New Roman" w:eastAsia="Arial" w:hAnsi="Times New Roman" w:cs="Times New Roman"/>
          <w:b/>
          <w:sz w:val="24"/>
          <w:szCs w:val="24"/>
          <w:u w:val="single"/>
        </w:rPr>
        <w:t>MiSeq</w:t>
      </w:r>
      <w:proofErr w:type="spellEnd"/>
      <w:r w:rsidRPr="002C51E5">
        <w:rPr>
          <w:rFonts w:ascii="Times New Roman" w:eastAsia="Arial" w:hAnsi="Times New Roman" w:cs="Times New Roman"/>
          <w:b/>
          <w:sz w:val="24"/>
          <w:szCs w:val="24"/>
          <w:u w:val="single"/>
        </w:rPr>
        <w:t xml:space="preserve"> Sequencer</w:t>
      </w:r>
      <w:r w:rsidRPr="002C51E5">
        <w:rPr>
          <w:rFonts w:ascii="Times New Roman" w:eastAsia="Arial" w:hAnsi="Times New Roman" w:cs="Times New Roman"/>
          <w:sz w:val="24"/>
          <w:szCs w:val="24"/>
        </w:rPr>
        <w:t xml:space="preserve">. This sequencer was acquired in December 2013 via an HHMI investigator and major user. It is capable of one-lane flow cell rapid sequencing with run times ranging from 8 hours (50bp single-end reads) to 48 hours (300bp paired-end reads). It can provide longer reads (2x300bp) but a lower throughput (maximum of 25 million reads). The </w:t>
      </w:r>
      <w:proofErr w:type="spellStart"/>
      <w:r w:rsidRPr="002C51E5">
        <w:rPr>
          <w:rFonts w:ascii="Times New Roman" w:eastAsia="Arial" w:hAnsi="Times New Roman" w:cs="Times New Roman"/>
          <w:sz w:val="24"/>
          <w:szCs w:val="24"/>
        </w:rPr>
        <w:t>MiSeq</w:t>
      </w:r>
      <w:proofErr w:type="spellEnd"/>
      <w:r w:rsidRPr="002C51E5">
        <w:rPr>
          <w:rFonts w:ascii="Times New Roman" w:eastAsia="Arial" w:hAnsi="Times New Roman" w:cs="Times New Roman"/>
          <w:sz w:val="24"/>
          <w:szCs w:val="24"/>
        </w:rPr>
        <w:t xml:space="preserve"> is ideal for lower yield applications such as amplicon sequencing as well as exome projects where speed and read length are key considerations.</w:t>
      </w:r>
    </w:p>
    <w:p w14:paraId="501BF372"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eastAsia="Arial" w:hAnsi="Times New Roman" w:cs="Times New Roman"/>
          <w:b/>
          <w:sz w:val="24"/>
          <w:szCs w:val="24"/>
          <w:u w:val="single"/>
        </w:rPr>
        <w:t xml:space="preserve">Illumina </w:t>
      </w:r>
      <w:proofErr w:type="spellStart"/>
      <w:r w:rsidRPr="002C51E5">
        <w:rPr>
          <w:rFonts w:ascii="Times New Roman" w:eastAsia="Arial" w:hAnsi="Times New Roman" w:cs="Times New Roman"/>
          <w:b/>
          <w:sz w:val="24"/>
          <w:szCs w:val="24"/>
          <w:u w:val="single"/>
        </w:rPr>
        <w:t>NextSeq</w:t>
      </w:r>
      <w:proofErr w:type="spellEnd"/>
      <w:r w:rsidRPr="002C51E5">
        <w:rPr>
          <w:rFonts w:ascii="Times New Roman" w:eastAsia="Arial" w:hAnsi="Times New Roman" w:cs="Times New Roman"/>
          <w:b/>
          <w:sz w:val="24"/>
          <w:szCs w:val="24"/>
          <w:u w:val="single"/>
        </w:rPr>
        <w:t xml:space="preserve"> 500 Sequencer</w:t>
      </w:r>
      <w:r w:rsidRPr="002C51E5">
        <w:rPr>
          <w:rFonts w:ascii="Times New Roman" w:eastAsia="Arial" w:hAnsi="Times New Roman" w:cs="Times New Roman"/>
          <w:sz w:val="24"/>
          <w:szCs w:val="24"/>
        </w:rPr>
        <w:t xml:space="preserve">. This sequencer was acquired in 2014. It can sequence one sample using a one-lane flow cell which yields about 400 million reads per run. The run time is from 11 hours (75bp single read) to 26 hours (300bp paired end read). It can provide 1x75bp, 1x150bp, 2x75bp, and 2x150bp outputs, which are suitable for applications of small to mid-sized projects, including whole-genome sequencing, RNA-seq, and </w:t>
      </w:r>
      <w:proofErr w:type="spellStart"/>
      <w:r w:rsidRPr="002C51E5">
        <w:rPr>
          <w:rFonts w:ascii="Times New Roman" w:eastAsia="Arial" w:hAnsi="Times New Roman" w:cs="Times New Roman"/>
          <w:sz w:val="24"/>
          <w:szCs w:val="24"/>
        </w:rPr>
        <w:t>ChIP</w:t>
      </w:r>
      <w:proofErr w:type="spellEnd"/>
      <w:r w:rsidRPr="002C51E5">
        <w:rPr>
          <w:rFonts w:ascii="Times New Roman" w:eastAsia="Arial" w:hAnsi="Times New Roman" w:cs="Times New Roman"/>
          <w:sz w:val="24"/>
          <w:szCs w:val="24"/>
        </w:rPr>
        <w:t xml:space="preserve">-seq. However, it cannot fulfill the data output requirements of the increasing large-scale projects and emerging applications such as </w:t>
      </w:r>
      <w:proofErr w:type="gramStart"/>
      <w:r w:rsidRPr="002C51E5">
        <w:rPr>
          <w:rFonts w:ascii="Times New Roman" w:eastAsia="Arial" w:hAnsi="Times New Roman" w:cs="Times New Roman"/>
          <w:sz w:val="24"/>
          <w:szCs w:val="24"/>
        </w:rPr>
        <w:t>single-cell</w:t>
      </w:r>
      <w:proofErr w:type="gramEnd"/>
      <w:r w:rsidRPr="002C51E5">
        <w:rPr>
          <w:rFonts w:ascii="Times New Roman" w:eastAsia="Arial" w:hAnsi="Times New Roman" w:cs="Times New Roman"/>
          <w:sz w:val="24"/>
          <w:szCs w:val="24"/>
        </w:rPr>
        <w:t xml:space="preserve"> sequencing and spatial omics.</w:t>
      </w:r>
    </w:p>
    <w:p w14:paraId="5B573162" w14:textId="77777777" w:rsidR="002C51E5" w:rsidRPr="002C51E5" w:rsidRDefault="002C51E5" w:rsidP="002C51E5">
      <w:pPr>
        <w:ind w:hanging="90"/>
        <w:jc w:val="both"/>
        <w:rPr>
          <w:rFonts w:ascii="Times New Roman" w:eastAsia="Arial" w:hAnsi="Times New Roman" w:cs="Times New Roman"/>
          <w:bCs/>
          <w:sz w:val="24"/>
          <w:szCs w:val="24"/>
        </w:rPr>
      </w:pPr>
      <w:r w:rsidRPr="002C51E5">
        <w:rPr>
          <w:rFonts w:ascii="Times New Roman" w:eastAsia="Arial" w:hAnsi="Times New Roman" w:cs="Times New Roman"/>
          <w:b/>
          <w:sz w:val="24"/>
          <w:szCs w:val="24"/>
          <w:u w:val="single"/>
        </w:rPr>
        <w:t xml:space="preserve">Illumina </w:t>
      </w:r>
      <w:proofErr w:type="spellStart"/>
      <w:r w:rsidRPr="002C51E5">
        <w:rPr>
          <w:rFonts w:ascii="Times New Roman" w:eastAsia="Arial" w:hAnsi="Times New Roman" w:cs="Times New Roman"/>
          <w:b/>
          <w:sz w:val="24"/>
          <w:szCs w:val="24"/>
          <w:u w:val="single"/>
        </w:rPr>
        <w:t>NextSeq</w:t>
      </w:r>
      <w:proofErr w:type="spellEnd"/>
      <w:r w:rsidRPr="002C51E5">
        <w:rPr>
          <w:rFonts w:ascii="Times New Roman" w:eastAsia="Arial" w:hAnsi="Times New Roman" w:cs="Times New Roman"/>
          <w:b/>
          <w:sz w:val="24"/>
          <w:szCs w:val="24"/>
          <w:u w:val="single"/>
        </w:rPr>
        <w:t xml:space="preserve"> 2000 Sequencer</w:t>
      </w:r>
      <w:r w:rsidRPr="002C51E5">
        <w:rPr>
          <w:rFonts w:ascii="Times New Roman" w:eastAsia="Arial" w:hAnsi="Times New Roman" w:cs="Times New Roman"/>
          <w:b/>
          <w:sz w:val="24"/>
          <w:szCs w:val="24"/>
        </w:rPr>
        <w:t xml:space="preserve">. </w:t>
      </w:r>
      <w:r w:rsidRPr="002C51E5">
        <w:rPr>
          <w:rFonts w:ascii="Times New Roman" w:eastAsia="Arial" w:hAnsi="Times New Roman" w:cs="Times New Roman"/>
          <w:bCs/>
          <w:sz w:val="24"/>
          <w:szCs w:val="24"/>
        </w:rPr>
        <w:t xml:space="preserve">The </w:t>
      </w:r>
      <w:proofErr w:type="spellStart"/>
      <w:r w:rsidRPr="002C51E5">
        <w:rPr>
          <w:rFonts w:ascii="Times New Roman" w:eastAsia="Arial" w:hAnsi="Times New Roman" w:cs="Times New Roman"/>
          <w:bCs/>
          <w:sz w:val="24"/>
          <w:szCs w:val="24"/>
        </w:rPr>
        <w:t>NextSeq</w:t>
      </w:r>
      <w:proofErr w:type="spellEnd"/>
      <w:r w:rsidRPr="002C51E5">
        <w:rPr>
          <w:rFonts w:ascii="Times New Roman" w:eastAsia="Arial" w:hAnsi="Times New Roman" w:cs="Times New Roman"/>
          <w:bCs/>
          <w:sz w:val="24"/>
          <w:szCs w:val="24"/>
        </w:rPr>
        <w:t xml:space="preserve"> 2000 sequencer was </w:t>
      </w:r>
      <w:r w:rsidRPr="002C51E5">
        <w:rPr>
          <w:rFonts w:ascii="Times New Roman" w:eastAsia="Arial" w:hAnsi="Times New Roman" w:cs="Times New Roman"/>
          <w:sz w:val="24"/>
          <w:szCs w:val="24"/>
        </w:rPr>
        <w:t xml:space="preserve">acquired </w:t>
      </w:r>
      <w:r w:rsidRPr="002C51E5">
        <w:rPr>
          <w:rFonts w:ascii="Times New Roman" w:eastAsia="Arial" w:hAnsi="Times New Roman" w:cs="Times New Roman"/>
          <w:bCs/>
          <w:sz w:val="24"/>
          <w:szCs w:val="24"/>
        </w:rPr>
        <w:t xml:space="preserve">by university lottery funding in 2022. </w:t>
      </w:r>
      <w:r w:rsidRPr="002C51E5">
        <w:rPr>
          <w:rFonts w:ascii="Times New Roman" w:eastAsia="Arial" w:hAnsi="Times New Roman" w:cs="Times New Roman"/>
          <w:sz w:val="24"/>
          <w:szCs w:val="24"/>
        </w:rPr>
        <w:t xml:space="preserve">This sequencer </w:t>
      </w:r>
      <w:r w:rsidRPr="002C51E5">
        <w:rPr>
          <w:rFonts w:ascii="Times New Roman" w:eastAsia="Arial" w:hAnsi="Times New Roman" w:cs="Times New Roman"/>
          <w:bCs/>
          <w:sz w:val="24"/>
          <w:szCs w:val="24"/>
        </w:rPr>
        <w:t xml:space="preserve">is an integrated system that includes instrument hardware </w:t>
      </w:r>
      <w:r w:rsidRPr="002C51E5">
        <w:rPr>
          <w:rFonts w:ascii="Times New Roman" w:eastAsia="Arial" w:hAnsi="Times New Roman" w:cs="Times New Roman"/>
          <w:bCs/>
          <w:sz w:val="24"/>
          <w:szCs w:val="24"/>
        </w:rPr>
        <w:lastRenderedPageBreak/>
        <w:t xml:space="preserve">for the automated generation of DNA clonal clusters by bridge amplification and sequencing, an on-instrument computer, and integrated control software for sequencing run control and primary analysis. Three types of flow cells can generate data outputs ranging from 25 to 300 Gb per run. The multiple-run configurations accommodate a wide variety of next-generation sequencing projects with fast speed. For example, the P4 can generate up to 1.8 billion reads per run, which is nearly three times the </w:t>
      </w:r>
      <w:proofErr w:type="spellStart"/>
      <w:r w:rsidRPr="002C51E5">
        <w:rPr>
          <w:rFonts w:ascii="Times New Roman" w:eastAsia="Arial" w:hAnsi="Times New Roman" w:cs="Times New Roman"/>
          <w:bCs/>
          <w:sz w:val="24"/>
          <w:szCs w:val="24"/>
        </w:rPr>
        <w:t>NextSeq</w:t>
      </w:r>
      <w:proofErr w:type="spellEnd"/>
      <w:r w:rsidRPr="002C51E5">
        <w:rPr>
          <w:rFonts w:ascii="Times New Roman" w:eastAsia="Arial" w:hAnsi="Times New Roman" w:cs="Times New Roman"/>
          <w:bCs/>
          <w:sz w:val="24"/>
          <w:szCs w:val="24"/>
        </w:rPr>
        <w:t xml:space="preserve"> 500. Unlike the large-scale, multi-lane sequencing system where users </w:t>
      </w:r>
      <w:proofErr w:type="gramStart"/>
      <w:r w:rsidRPr="002C51E5">
        <w:rPr>
          <w:rFonts w:ascii="Times New Roman" w:eastAsia="Arial" w:hAnsi="Times New Roman" w:cs="Times New Roman"/>
          <w:bCs/>
          <w:sz w:val="24"/>
          <w:szCs w:val="24"/>
        </w:rPr>
        <w:t>have to</w:t>
      </w:r>
      <w:proofErr w:type="gramEnd"/>
      <w:r w:rsidRPr="002C51E5">
        <w:rPr>
          <w:rFonts w:ascii="Times New Roman" w:eastAsia="Arial" w:hAnsi="Times New Roman" w:cs="Times New Roman"/>
          <w:bCs/>
          <w:sz w:val="24"/>
          <w:szCs w:val="24"/>
        </w:rPr>
        <w:t xml:space="preserve"> wait to fill all lanes, the </w:t>
      </w:r>
      <w:proofErr w:type="spellStart"/>
      <w:r w:rsidRPr="002C51E5">
        <w:rPr>
          <w:rFonts w:ascii="Times New Roman" w:eastAsia="Arial" w:hAnsi="Times New Roman" w:cs="Times New Roman"/>
          <w:bCs/>
          <w:sz w:val="24"/>
          <w:szCs w:val="24"/>
        </w:rPr>
        <w:t>NextSeq</w:t>
      </w:r>
      <w:proofErr w:type="spellEnd"/>
      <w:r w:rsidRPr="002C51E5">
        <w:rPr>
          <w:rFonts w:ascii="Times New Roman" w:eastAsia="Arial" w:hAnsi="Times New Roman" w:cs="Times New Roman"/>
          <w:bCs/>
          <w:sz w:val="24"/>
          <w:szCs w:val="24"/>
        </w:rPr>
        <w:t xml:space="preserve"> 2000 sequencer allows researchers to purchase the full </w:t>
      </w:r>
      <w:proofErr w:type="spellStart"/>
      <w:r w:rsidRPr="002C51E5">
        <w:rPr>
          <w:rFonts w:ascii="Times New Roman" w:eastAsia="Arial" w:hAnsi="Times New Roman" w:cs="Times New Roman"/>
          <w:bCs/>
          <w:sz w:val="24"/>
          <w:szCs w:val="24"/>
        </w:rPr>
        <w:t>flowcell</w:t>
      </w:r>
      <w:proofErr w:type="spellEnd"/>
      <w:r w:rsidRPr="002C51E5">
        <w:rPr>
          <w:rFonts w:ascii="Times New Roman" w:eastAsia="Arial" w:hAnsi="Times New Roman" w:cs="Times New Roman"/>
          <w:bCs/>
          <w:sz w:val="24"/>
          <w:szCs w:val="24"/>
        </w:rPr>
        <w:t xml:space="preserve"> without lane sharing.</w:t>
      </w:r>
    </w:p>
    <w:p w14:paraId="3B0E55B1"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eastAsia="Arial" w:hAnsi="Times New Roman" w:cs="Times New Roman"/>
          <w:bCs/>
          <w:sz w:val="24"/>
          <w:szCs w:val="24"/>
        </w:rPr>
        <w:t>In addition</w:t>
      </w:r>
      <w:r w:rsidRPr="002C51E5">
        <w:rPr>
          <w:rFonts w:ascii="Times New Roman" w:eastAsia="Arial" w:hAnsi="Times New Roman" w:cs="Times New Roman"/>
          <w:b/>
          <w:sz w:val="24"/>
          <w:szCs w:val="24"/>
        </w:rPr>
        <w:t xml:space="preserve">, </w:t>
      </w:r>
      <w:r w:rsidRPr="002C51E5">
        <w:rPr>
          <w:rFonts w:ascii="Times New Roman" w:hAnsi="Times New Roman" w:cs="Times New Roman"/>
          <w:bCs/>
          <w:color w:val="000000" w:themeColor="text1"/>
          <w:sz w:val="24"/>
          <w:szCs w:val="24"/>
        </w:rPr>
        <w:t xml:space="preserve">the Core collaborates with several UC sequencing core facilities to leverage their industry-scale </w:t>
      </w:r>
      <w:proofErr w:type="spellStart"/>
      <w:r w:rsidRPr="002C51E5">
        <w:rPr>
          <w:rFonts w:ascii="Times New Roman" w:hAnsi="Times New Roman" w:cs="Times New Roman"/>
          <w:bCs/>
          <w:color w:val="000000" w:themeColor="text1"/>
          <w:sz w:val="24"/>
          <w:szCs w:val="24"/>
        </w:rPr>
        <w:t>NovaSeq</w:t>
      </w:r>
      <w:proofErr w:type="spellEnd"/>
      <w:r w:rsidRPr="002C51E5">
        <w:rPr>
          <w:rFonts w:ascii="Times New Roman" w:hAnsi="Times New Roman" w:cs="Times New Roman"/>
          <w:bCs/>
          <w:color w:val="000000" w:themeColor="text1"/>
          <w:sz w:val="24"/>
          <w:szCs w:val="24"/>
        </w:rPr>
        <w:t xml:space="preserve"> X plus sequencers that increase the sequencing capability and cut the cost significantly.</w:t>
      </w:r>
    </w:p>
    <w:p w14:paraId="2FFA4004"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eastAsia="Times New Roman" w:hAnsi="Times New Roman" w:cs="Times New Roman"/>
          <w:b/>
          <w:bCs/>
          <w:i/>
          <w:sz w:val="24"/>
          <w:szCs w:val="24"/>
        </w:rPr>
        <w:t xml:space="preserve">c) </w:t>
      </w:r>
      <w:r w:rsidRPr="002C51E5">
        <w:rPr>
          <w:rFonts w:ascii="Times New Roman" w:hAnsi="Times New Roman" w:cs="Times New Roman"/>
          <w:b/>
          <w:i/>
          <w:iCs/>
          <w:color w:val="000000" w:themeColor="text1"/>
          <w:sz w:val="24"/>
          <w:szCs w:val="24"/>
        </w:rPr>
        <w:t>The 3</w:t>
      </w:r>
      <w:r w:rsidRPr="002C51E5">
        <w:rPr>
          <w:rFonts w:ascii="Times New Roman" w:hAnsi="Times New Roman" w:cs="Times New Roman"/>
          <w:b/>
          <w:i/>
          <w:iCs/>
          <w:color w:val="000000" w:themeColor="text1"/>
          <w:sz w:val="24"/>
          <w:szCs w:val="24"/>
          <w:vertAlign w:val="superscript"/>
        </w:rPr>
        <w:t>rd</w:t>
      </w:r>
      <w:r w:rsidRPr="002C51E5">
        <w:rPr>
          <w:rFonts w:ascii="Times New Roman" w:hAnsi="Times New Roman" w:cs="Times New Roman"/>
          <w:b/>
          <w:i/>
          <w:iCs/>
          <w:color w:val="000000" w:themeColor="text1"/>
          <w:sz w:val="24"/>
          <w:szCs w:val="24"/>
        </w:rPr>
        <w:t xml:space="preserve"> generation long-read sequencing</w:t>
      </w:r>
    </w:p>
    <w:p w14:paraId="2E76B5B1" w14:textId="77777777" w:rsidR="002C51E5" w:rsidRPr="002C51E5" w:rsidRDefault="002C51E5" w:rsidP="002C51E5">
      <w:pPr>
        <w:ind w:hanging="90"/>
        <w:jc w:val="both"/>
        <w:rPr>
          <w:rFonts w:ascii="Times New Roman" w:hAnsi="Times New Roman" w:cs="Times New Roman"/>
          <w:b/>
          <w:color w:val="000000" w:themeColor="text1"/>
          <w:sz w:val="24"/>
          <w:szCs w:val="24"/>
        </w:rPr>
      </w:pPr>
      <w:r w:rsidRPr="002C51E5">
        <w:rPr>
          <w:rFonts w:ascii="Times New Roman" w:hAnsi="Times New Roman" w:cs="Times New Roman"/>
          <w:bCs/>
          <w:color w:val="000000" w:themeColor="text1"/>
          <w:sz w:val="24"/>
          <w:szCs w:val="24"/>
        </w:rPr>
        <w:t>The 3</w:t>
      </w:r>
      <w:r w:rsidRPr="002C51E5">
        <w:rPr>
          <w:rFonts w:ascii="Times New Roman" w:hAnsi="Times New Roman" w:cs="Times New Roman"/>
          <w:bCs/>
          <w:color w:val="000000" w:themeColor="text1"/>
          <w:sz w:val="24"/>
          <w:szCs w:val="24"/>
          <w:vertAlign w:val="superscript"/>
        </w:rPr>
        <w:t>rd</w:t>
      </w:r>
      <w:r w:rsidRPr="002C51E5">
        <w:rPr>
          <w:rFonts w:ascii="Times New Roman" w:hAnsi="Times New Roman" w:cs="Times New Roman"/>
          <w:bCs/>
          <w:color w:val="000000" w:themeColor="text1"/>
          <w:sz w:val="24"/>
          <w:szCs w:val="24"/>
        </w:rPr>
        <w:t xml:space="preserve"> generation of long-read sequencing services using PacBio and Oxford Nanopore techniques are available at the Genomics Core. Core provides library preparation services for applications of PacBio HiFi (whole-genome sequencing) and </w:t>
      </w:r>
      <w:proofErr w:type="spellStart"/>
      <w:r w:rsidRPr="002C51E5">
        <w:rPr>
          <w:rFonts w:ascii="Times New Roman" w:hAnsi="Times New Roman" w:cs="Times New Roman"/>
          <w:bCs/>
          <w:color w:val="000000" w:themeColor="text1"/>
          <w:sz w:val="24"/>
          <w:szCs w:val="24"/>
        </w:rPr>
        <w:t>IsoSeq</w:t>
      </w:r>
      <w:proofErr w:type="spellEnd"/>
      <w:r w:rsidRPr="002C51E5">
        <w:rPr>
          <w:rFonts w:ascii="Times New Roman" w:hAnsi="Times New Roman" w:cs="Times New Roman"/>
          <w:bCs/>
          <w:color w:val="000000" w:themeColor="text1"/>
          <w:sz w:val="24"/>
          <w:szCs w:val="24"/>
        </w:rPr>
        <w:t xml:space="preserve"> (whole-transcriptome sequencing). The final libraries are sequenced using the PacBio Sequel </w:t>
      </w:r>
      <w:proofErr w:type="spellStart"/>
      <w:r w:rsidRPr="002C51E5">
        <w:rPr>
          <w:rFonts w:ascii="Times New Roman" w:hAnsi="Times New Roman" w:cs="Times New Roman"/>
          <w:bCs/>
          <w:color w:val="000000" w:themeColor="text1"/>
          <w:sz w:val="24"/>
          <w:szCs w:val="24"/>
        </w:rPr>
        <w:t>IIe</w:t>
      </w:r>
      <w:proofErr w:type="spellEnd"/>
      <w:r w:rsidRPr="002C51E5">
        <w:rPr>
          <w:rFonts w:ascii="Times New Roman" w:hAnsi="Times New Roman" w:cs="Times New Roman"/>
          <w:bCs/>
          <w:color w:val="000000" w:themeColor="text1"/>
          <w:sz w:val="24"/>
          <w:szCs w:val="24"/>
        </w:rPr>
        <w:t xml:space="preserve"> and </w:t>
      </w:r>
      <w:proofErr w:type="spellStart"/>
      <w:r w:rsidRPr="002C51E5">
        <w:rPr>
          <w:rFonts w:ascii="Times New Roman" w:hAnsi="Times New Roman" w:cs="Times New Roman"/>
          <w:bCs/>
          <w:color w:val="000000" w:themeColor="text1"/>
          <w:sz w:val="24"/>
          <w:szCs w:val="24"/>
        </w:rPr>
        <w:t>Revio</w:t>
      </w:r>
      <w:proofErr w:type="spellEnd"/>
      <w:r w:rsidRPr="002C51E5">
        <w:rPr>
          <w:rFonts w:ascii="Times New Roman" w:hAnsi="Times New Roman" w:cs="Times New Roman"/>
          <w:bCs/>
          <w:color w:val="000000" w:themeColor="text1"/>
          <w:sz w:val="24"/>
          <w:szCs w:val="24"/>
        </w:rPr>
        <w:t xml:space="preserve"> in collaboration with other UC core facilities. The </w:t>
      </w:r>
      <w:r w:rsidRPr="002C51E5">
        <w:rPr>
          <w:rFonts w:ascii="Times New Roman" w:hAnsi="Times New Roman" w:cs="Times New Roman"/>
          <w:b/>
          <w:color w:val="000000" w:themeColor="text1"/>
          <w:sz w:val="24"/>
          <w:szCs w:val="24"/>
          <w:u w:val="single"/>
        </w:rPr>
        <w:t xml:space="preserve">Oxford Nanopore </w:t>
      </w:r>
      <w:proofErr w:type="spellStart"/>
      <w:r w:rsidRPr="002C51E5">
        <w:rPr>
          <w:rFonts w:ascii="Times New Roman" w:hAnsi="Times New Roman" w:cs="Times New Roman"/>
          <w:b/>
          <w:color w:val="000000" w:themeColor="text1"/>
          <w:sz w:val="24"/>
          <w:szCs w:val="24"/>
          <w:u w:val="single"/>
        </w:rPr>
        <w:t>MinION</w:t>
      </w:r>
      <w:proofErr w:type="spellEnd"/>
      <w:r w:rsidRPr="002C51E5">
        <w:rPr>
          <w:rFonts w:ascii="Times New Roman" w:hAnsi="Times New Roman" w:cs="Times New Roman"/>
          <w:b/>
          <w:color w:val="000000" w:themeColor="text1"/>
          <w:sz w:val="24"/>
          <w:szCs w:val="24"/>
          <w:u w:val="single"/>
        </w:rPr>
        <w:t xml:space="preserve"> </w:t>
      </w:r>
      <w:r w:rsidRPr="002C51E5">
        <w:rPr>
          <w:rFonts w:ascii="Times New Roman" w:hAnsi="Times New Roman" w:cs="Times New Roman"/>
          <w:bCs/>
          <w:color w:val="000000" w:themeColor="text1"/>
          <w:sz w:val="24"/>
          <w:szCs w:val="24"/>
        </w:rPr>
        <w:t xml:space="preserve">and </w:t>
      </w:r>
      <w:proofErr w:type="spellStart"/>
      <w:r w:rsidRPr="002C51E5">
        <w:rPr>
          <w:rFonts w:ascii="Times New Roman" w:hAnsi="Times New Roman" w:cs="Times New Roman"/>
          <w:b/>
          <w:color w:val="000000" w:themeColor="text1"/>
          <w:sz w:val="24"/>
          <w:szCs w:val="24"/>
          <w:u w:val="single"/>
        </w:rPr>
        <w:t>Flongle</w:t>
      </w:r>
      <w:proofErr w:type="spellEnd"/>
      <w:r w:rsidRPr="002C51E5">
        <w:rPr>
          <w:rFonts w:ascii="Times New Roman" w:hAnsi="Times New Roman" w:cs="Times New Roman"/>
          <w:bCs/>
          <w:color w:val="000000" w:themeColor="text1"/>
          <w:sz w:val="24"/>
          <w:szCs w:val="24"/>
        </w:rPr>
        <w:t xml:space="preserve"> sequencers are one of state-of-the-art sequencing platforms available from Oxford Nanopore Technologies that can meet requirements for scalable projects. Oxford Nanopore Technologies uses biological nanopores embedded into a lipid membrane to sequence DNA molecules. While single-strand DNA is passing through the pores, subtle structural rearrangements are induced in the pore structure. These rearrangements are sequence-specific and, as such, can be used to determine the DNA sequence afterward. Nanopore sequencing offers high-throughput long-read sequencing for both DNA and RNA molecules and provides real-time data analysis. The library preparation for this sequencing technology is limited since only a motor protein should be added, which unwinds the DNA and enables it to pass as ssDNA through the pores. This is a huge advance compared to NGS technologies, which require DNA fragmentation, adaptor migration, size selection, and amplification before sequencing, which might induce amplification bias. One single </w:t>
      </w:r>
      <w:proofErr w:type="spellStart"/>
      <w:r w:rsidRPr="002C51E5">
        <w:rPr>
          <w:rFonts w:ascii="Times New Roman" w:hAnsi="Times New Roman" w:cs="Times New Roman"/>
          <w:bCs/>
          <w:color w:val="000000" w:themeColor="text1"/>
          <w:sz w:val="24"/>
          <w:szCs w:val="24"/>
        </w:rPr>
        <w:t>MinION</w:t>
      </w:r>
      <w:proofErr w:type="spellEnd"/>
      <w:r w:rsidRPr="002C51E5">
        <w:rPr>
          <w:rFonts w:ascii="Times New Roman" w:hAnsi="Times New Roman" w:cs="Times New Roman"/>
          <w:bCs/>
          <w:color w:val="000000" w:themeColor="text1"/>
          <w:sz w:val="24"/>
          <w:szCs w:val="24"/>
        </w:rPr>
        <w:t xml:space="preserve"> flow cell can sequence up to 30 </w:t>
      </w:r>
      <w:proofErr w:type="spellStart"/>
      <w:r w:rsidRPr="002C51E5">
        <w:rPr>
          <w:rFonts w:ascii="Times New Roman" w:hAnsi="Times New Roman" w:cs="Times New Roman"/>
          <w:bCs/>
          <w:color w:val="000000" w:themeColor="text1"/>
          <w:sz w:val="24"/>
          <w:szCs w:val="24"/>
        </w:rPr>
        <w:t>gigabases</w:t>
      </w:r>
      <w:proofErr w:type="spellEnd"/>
      <w:r w:rsidRPr="002C51E5">
        <w:rPr>
          <w:rFonts w:ascii="Times New Roman" w:hAnsi="Times New Roman" w:cs="Times New Roman"/>
          <w:bCs/>
          <w:color w:val="000000" w:themeColor="text1"/>
          <w:sz w:val="24"/>
          <w:szCs w:val="24"/>
        </w:rPr>
        <w:t xml:space="preserve"> or 30 billion bases over 72 hours.</w:t>
      </w:r>
    </w:p>
    <w:p w14:paraId="1B2511C8" w14:textId="77777777" w:rsidR="002C51E5" w:rsidRPr="002C51E5" w:rsidRDefault="002C51E5" w:rsidP="002C51E5">
      <w:pPr>
        <w:ind w:hanging="90"/>
        <w:jc w:val="both"/>
        <w:rPr>
          <w:rFonts w:ascii="Times New Roman" w:hAnsi="Times New Roman" w:cs="Times New Roman"/>
          <w:b/>
          <w:i/>
          <w:iCs/>
          <w:color w:val="000000" w:themeColor="text1"/>
          <w:sz w:val="24"/>
          <w:szCs w:val="24"/>
        </w:rPr>
      </w:pPr>
      <w:r w:rsidRPr="002C51E5">
        <w:rPr>
          <w:rFonts w:ascii="Times New Roman" w:eastAsia="Times New Roman" w:hAnsi="Times New Roman" w:cs="Times New Roman"/>
          <w:b/>
          <w:bCs/>
          <w:i/>
          <w:sz w:val="24"/>
          <w:szCs w:val="24"/>
        </w:rPr>
        <w:t xml:space="preserve">d) </w:t>
      </w:r>
      <w:r w:rsidRPr="002C51E5">
        <w:rPr>
          <w:rFonts w:ascii="Times New Roman" w:hAnsi="Times New Roman" w:cs="Times New Roman"/>
          <w:b/>
          <w:i/>
          <w:iCs/>
          <w:color w:val="000000" w:themeColor="text1"/>
          <w:sz w:val="24"/>
          <w:szCs w:val="24"/>
        </w:rPr>
        <w:t>Single-cell sequencing</w:t>
      </w:r>
    </w:p>
    <w:p w14:paraId="7827EE42" w14:textId="77777777" w:rsidR="002C51E5" w:rsidRPr="002C51E5" w:rsidRDefault="002C51E5" w:rsidP="002C51E5">
      <w:pPr>
        <w:ind w:hanging="90"/>
        <w:jc w:val="both"/>
        <w:rPr>
          <w:rFonts w:ascii="Times New Roman" w:hAnsi="Times New Roman" w:cs="Times New Roman"/>
          <w:b/>
          <w:i/>
          <w:iCs/>
          <w:color w:val="000000" w:themeColor="text1"/>
          <w:sz w:val="24"/>
          <w:szCs w:val="24"/>
        </w:rPr>
      </w:pPr>
      <w:r w:rsidRPr="002C51E5">
        <w:rPr>
          <w:rFonts w:ascii="Times New Roman" w:hAnsi="Times New Roman" w:cs="Times New Roman"/>
          <w:bCs/>
          <w:color w:val="000000" w:themeColor="text1"/>
          <w:sz w:val="24"/>
          <w:szCs w:val="24"/>
        </w:rPr>
        <w:t xml:space="preserve">The Core can offer single-cell sequencing services by using the 10x technique via the </w:t>
      </w:r>
      <w:r w:rsidRPr="002C51E5">
        <w:rPr>
          <w:rFonts w:ascii="Times New Roman" w:hAnsi="Times New Roman" w:cs="Times New Roman"/>
          <w:b/>
          <w:color w:val="000000" w:themeColor="text1"/>
          <w:sz w:val="24"/>
          <w:szCs w:val="24"/>
          <w:u w:val="single"/>
        </w:rPr>
        <w:t xml:space="preserve">Chromium </w:t>
      </w:r>
      <w:proofErr w:type="spellStart"/>
      <w:r w:rsidRPr="002C51E5">
        <w:rPr>
          <w:rFonts w:ascii="Times New Roman" w:hAnsi="Times New Roman" w:cs="Times New Roman"/>
          <w:b/>
          <w:color w:val="000000" w:themeColor="text1"/>
          <w:sz w:val="24"/>
          <w:szCs w:val="24"/>
          <w:u w:val="single"/>
        </w:rPr>
        <w:t>iX</w:t>
      </w:r>
      <w:proofErr w:type="spellEnd"/>
      <w:r w:rsidRPr="002C51E5">
        <w:rPr>
          <w:rFonts w:ascii="Times New Roman" w:hAnsi="Times New Roman" w:cs="Times New Roman"/>
          <w:bCs/>
          <w:color w:val="000000" w:themeColor="text1"/>
          <w:sz w:val="24"/>
          <w:szCs w:val="24"/>
        </w:rPr>
        <w:t xml:space="preserve"> instrument and the split-seq technique available from Parse Biosciences. The Chromium </w:t>
      </w:r>
      <w:proofErr w:type="spellStart"/>
      <w:r w:rsidRPr="002C51E5">
        <w:rPr>
          <w:rFonts w:ascii="Times New Roman" w:hAnsi="Times New Roman" w:cs="Times New Roman"/>
          <w:bCs/>
          <w:color w:val="000000" w:themeColor="text1"/>
          <w:sz w:val="24"/>
          <w:szCs w:val="24"/>
        </w:rPr>
        <w:t>iX</w:t>
      </w:r>
      <w:proofErr w:type="spellEnd"/>
      <w:r w:rsidRPr="002C51E5">
        <w:rPr>
          <w:rFonts w:ascii="Times New Roman" w:hAnsi="Times New Roman" w:cs="Times New Roman"/>
          <w:bCs/>
          <w:color w:val="000000" w:themeColor="text1"/>
          <w:sz w:val="24"/>
          <w:szCs w:val="24"/>
        </w:rPr>
        <w:t xml:space="preserve"> (10x Genomics) is an integrated benchtop instrument that can be used to study RNA and DNA on a single-cell level. The system can rapidly automate the capture of thousands of single cells or nuclei and combine them with reagents in emulsion droplets with identifying barcodes to perform a variety of assays. The system uses the 10X </w:t>
      </w:r>
      <w:proofErr w:type="spellStart"/>
      <w:r w:rsidRPr="002C51E5">
        <w:rPr>
          <w:rFonts w:ascii="Times New Roman" w:hAnsi="Times New Roman" w:cs="Times New Roman"/>
          <w:bCs/>
          <w:color w:val="000000" w:themeColor="text1"/>
          <w:sz w:val="24"/>
          <w:szCs w:val="24"/>
        </w:rPr>
        <w:t>NextGem</w:t>
      </w:r>
      <w:proofErr w:type="spellEnd"/>
      <w:r w:rsidRPr="002C51E5">
        <w:rPr>
          <w:rFonts w:ascii="Times New Roman" w:hAnsi="Times New Roman" w:cs="Times New Roman"/>
          <w:bCs/>
          <w:color w:val="000000" w:themeColor="text1"/>
          <w:sz w:val="24"/>
          <w:szCs w:val="24"/>
        </w:rPr>
        <w:t xml:space="preserve"> v3.1 technology, a precisely engineered reagent delivery method. Gel beads infused with millions of barcode oligonucleotides are mixed with a sample and then added to an oil-surfactant solution to create gel beads in emulsion (GEMs). Barcoded products are pooled for downstream reactions to create short-read sequencer-compatible libraries. After sequencing, the resulting barcoded sequences are fed into analysis pipelines that use the barcode information to map reads back to their original cell. This system can process up to eight samples simultaneously and capture 100 to 80,000 cells or nuclei in ~ 10 minutes, which means it can set up multiple runs in a day. This advanced instrument will be primarily used for instructional activities and offer better opportunities for students and researchers to make use of cutting-edge </w:t>
      </w:r>
      <w:proofErr w:type="gramStart"/>
      <w:r w:rsidRPr="002C51E5">
        <w:rPr>
          <w:rFonts w:ascii="Times New Roman" w:hAnsi="Times New Roman" w:cs="Times New Roman"/>
          <w:bCs/>
          <w:color w:val="000000" w:themeColor="text1"/>
          <w:sz w:val="24"/>
          <w:szCs w:val="24"/>
        </w:rPr>
        <w:t>single-cell</w:t>
      </w:r>
      <w:proofErr w:type="gramEnd"/>
      <w:r w:rsidRPr="002C51E5">
        <w:rPr>
          <w:rFonts w:ascii="Times New Roman" w:hAnsi="Times New Roman" w:cs="Times New Roman"/>
          <w:bCs/>
          <w:color w:val="000000" w:themeColor="text1"/>
          <w:sz w:val="24"/>
          <w:szCs w:val="24"/>
        </w:rPr>
        <w:t xml:space="preserve"> sequencing techniques in their biological studies.</w:t>
      </w:r>
    </w:p>
    <w:p w14:paraId="2EEC5A8E"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eastAsia="Times New Roman" w:hAnsi="Times New Roman" w:cs="Times New Roman"/>
          <w:b/>
          <w:bCs/>
          <w:i/>
          <w:sz w:val="24"/>
          <w:szCs w:val="24"/>
        </w:rPr>
        <w:t xml:space="preserve">e) </w:t>
      </w:r>
      <w:r w:rsidRPr="002C51E5">
        <w:rPr>
          <w:rFonts w:ascii="Times New Roman" w:hAnsi="Times New Roman" w:cs="Times New Roman"/>
          <w:b/>
          <w:i/>
          <w:iCs/>
          <w:color w:val="000000" w:themeColor="text1"/>
          <w:sz w:val="24"/>
          <w:szCs w:val="24"/>
        </w:rPr>
        <w:t>User-operated Instruments for DNA/RNA Qualitative and quantitative analysis</w:t>
      </w:r>
    </w:p>
    <w:p w14:paraId="3C5AC7BD"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hAnsi="Times New Roman" w:cs="Times New Roman"/>
          <w:bCs/>
          <w:color w:val="000000" w:themeColor="text1"/>
          <w:sz w:val="24"/>
          <w:szCs w:val="24"/>
        </w:rPr>
        <w:lastRenderedPageBreak/>
        <w:t xml:space="preserve">To assist in sample prep, the Genomics Core houses instrumentation for DNA fragmentation by </w:t>
      </w:r>
      <w:proofErr w:type="spellStart"/>
      <w:r w:rsidRPr="002C51E5">
        <w:rPr>
          <w:rFonts w:ascii="Times New Roman" w:hAnsi="Times New Roman" w:cs="Times New Roman"/>
          <w:b/>
          <w:color w:val="000000" w:themeColor="text1"/>
          <w:sz w:val="24"/>
          <w:szCs w:val="24"/>
          <w:u w:val="single"/>
        </w:rPr>
        <w:t>Covaris</w:t>
      </w:r>
      <w:proofErr w:type="spellEnd"/>
      <w:r w:rsidRPr="002C51E5">
        <w:rPr>
          <w:rFonts w:ascii="Times New Roman" w:hAnsi="Times New Roman" w:cs="Times New Roman"/>
          <w:b/>
          <w:color w:val="000000" w:themeColor="text1"/>
          <w:sz w:val="24"/>
          <w:szCs w:val="24"/>
          <w:u w:val="single"/>
        </w:rPr>
        <w:t xml:space="preserve"> S220</w:t>
      </w:r>
      <w:r w:rsidRPr="002C51E5">
        <w:rPr>
          <w:rFonts w:ascii="Times New Roman" w:hAnsi="Times New Roman" w:cs="Times New Roman"/>
          <w:bCs/>
          <w:color w:val="000000" w:themeColor="text1"/>
          <w:sz w:val="24"/>
          <w:szCs w:val="24"/>
        </w:rPr>
        <w:t xml:space="preserve"> and </w:t>
      </w:r>
      <w:r w:rsidRPr="002C51E5">
        <w:rPr>
          <w:rFonts w:ascii="Times New Roman" w:hAnsi="Times New Roman" w:cs="Times New Roman"/>
          <w:b/>
          <w:color w:val="000000" w:themeColor="text1"/>
          <w:sz w:val="24"/>
          <w:szCs w:val="24"/>
          <w:u w:val="single"/>
        </w:rPr>
        <w:t>ME220</w:t>
      </w:r>
      <w:r w:rsidRPr="002C51E5">
        <w:rPr>
          <w:rFonts w:ascii="Times New Roman" w:hAnsi="Times New Roman" w:cs="Times New Roman"/>
          <w:bCs/>
          <w:color w:val="000000" w:themeColor="text1"/>
          <w:sz w:val="24"/>
          <w:szCs w:val="24"/>
        </w:rPr>
        <w:t xml:space="preserve">, size selection by </w:t>
      </w:r>
      <w:r w:rsidRPr="002C51E5">
        <w:rPr>
          <w:rFonts w:ascii="Times New Roman" w:hAnsi="Times New Roman" w:cs="Times New Roman"/>
          <w:b/>
          <w:color w:val="000000" w:themeColor="text1"/>
          <w:sz w:val="24"/>
          <w:szCs w:val="24"/>
          <w:u w:val="single"/>
        </w:rPr>
        <w:t>Blue Pippin</w:t>
      </w:r>
      <w:r w:rsidRPr="002C51E5">
        <w:rPr>
          <w:rFonts w:ascii="Times New Roman" w:hAnsi="Times New Roman" w:cs="Times New Roman"/>
          <w:bCs/>
          <w:color w:val="000000" w:themeColor="text1"/>
          <w:sz w:val="24"/>
          <w:szCs w:val="24"/>
        </w:rPr>
        <w:t xml:space="preserve"> (Sage Scientific), DNA and RNA quality and quantification analysis by </w:t>
      </w:r>
      <w:r w:rsidRPr="002C51E5">
        <w:rPr>
          <w:rFonts w:ascii="Times New Roman" w:hAnsi="Times New Roman" w:cs="Times New Roman"/>
          <w:b/>
          <w:color w:val="000000" w:themeColor="text1"/>
          <w:sz w:val="24"/>
          <w:szCs w:val="24"/>
          <w:u w:val="single"/>
        </w:rPr>
        <w:t>Nanodrop</w:t>
      </w:r>
      <w:r w:rsidRPr="002C51E5">
        <w:rPr>
          <w:rFonts w:ascii="Times New Roman" w:hAnsi="Times New Roman" w:cs="Times New Roman"/>
          <w:bCs/>
          <w:color w:val="000000" w:themeColor="text1"/>
          <w:sz w:val="24"/>
          <w:szCs w:val="24"/>
        </w:rPr>
        <w:t xml:space="preserve">, </w:t>
      </w:r>
      <w:r w:rsidRPr="002C51E5">
        <w:rPr>
          <w:rFonts w:ascii="Times New Roman" w:hAnsi="Times New Roman" w:cs="Times New Roman"/>
          <w:b/>
          <w:color w:val="000000" w:themeColor="text1"/>
          <w:sz w:val="24"/>
          <w:szCs w:val="24"/>
          <w:u w:val="single"/>
        </w:rPr>
        <w:t>Qubit</w:t>
      </w:r>
      <w:r w:rsidRPr="002C51E5">
        <w:rPr>
          <w:rFonts w:ascii="Times New Roman" w:hAnsi="Times New Roman" w:cs="Times New Roman"/>
          <w:bCs/>
          <w:color w:val="000000" w:themeColor="text1"/>
          <w:sz w:val="24"/>
          <w:szCs w:val="24"/>
        </w:rPr>
        <w:t xml:space="preserve">, </w:t>
      </w:r>
      <w:r w:rsidRPr="002C51E5">
        <w:rPr>
          <w:rFonts w:ascii="Times New Roman" w:hAnsi="Times New Roman" w:cs="Times New Roman"/>
          <w:b/>
          <w:color w:val="000000" w:themeColor="text1"/>
          <w:sz w:val="24"/>
          <w:szCs w:val="24"/>
          <w:u w:val="single"/>
        </w:rPr>
        <w:t>Multi-Mode Microplate Reader</w:t>
      </w:r>
      <w:r w:rsidRPr="002C51E5">
        <w:rPr>
          <w:rFonts w:ascii="Times New Roman" w:hAnsi="Times New Roman" w:cs="Times New Roman"/>
          <w:bCs/>
          <w:color w:val="000000" w:themeColor="text1"/>
          <w:sz w:val="24"/>
          <w:szCs w:val="24"/>
        </w:rPr>
        <w:t xml:space="preserve">, </w:t>
      </w:r>
      <w:r w:rsidRPr="002C51E5">
        <w:rPr>
          <w:rFonts w:ascii="Times New Roman" w:hAnsi="Times New Roman" w:cs="Times New Roman"/>
          <w:b/>
          <w:color w:val="000000" w:themeColor="text1"/>
          <w:sz w:val="24"/>
          <w:szCs w:val="24"/>
          <w:u w:val="single"/>
        </w:rPr>
        <w:t>quantitative PCR</w:t>
      </w:r>
      <w:r w:rsidRPr="002C51E5">
        <w:rPr>
          <w:rFonts w:ascii="Times New Roman" w:hAnsi="Times New Roman" w:cs="Times New Roman"/>
          <w:bCs/>
          <w:color w:val="000000" w:themeColor="text1"/>
          <w:sz w:val="24"/>
          <w:szCs w:val="24"/>
        </w:rPr>
        <w:t xml:space="preserve">, </w:t>
      </w:r>
      <w:r w:rsidRPr="002C51E5">
        <w:rPr>
          <w:rFonts w:ascii="Times New Roman" w:hAnsi="Times New Roman" w:cs="Times New Roman"/>
          <w:b/>
          <w:color w:val="000000" w:themeColor="text1"/>
          <w:sz w:val="24"/>
          <w:szCs w:val="24"/>
          <w:u w:val="single"/>
        </w:rPr>
        <w:t>Agilent Bioanalyzer</w:t>
      </w:r>
      <w:r w:rsidRPr="002C51E5">
        <w:rPr>
          <w:rFonts w:ascii="Times New Roman" w:hAnsi="Times New Roman" w:cs="Times New Roman"/>
          <w:bCs/>
          <w:color w:val="000000" w:themeColor="text1"/>
          <w:sz w:val="24"/>
          <w:szCs w:val="24"/>
        </w:rPr>
        <w:t xml:space="preserve">, </w:t>
      </w:r>
      <w:r w:rsidRPr="002C51E5">
        <w:rPr>
          <w:rFonts w:ascii="Times New Roman" w:hAnsi="Times New Roman" w:cs="Times New Roman"/>
          <w:b/>
          <w:color w:val="000000" w:themeColor="text1"/>
          <w:sz w:val="24"/>
          <w:szCs w:val="24"/>
          <w:u w:val="single"/>
        </w:rPr>
        <w:t>Advanced Analytical Sciences Fragment Analyzer</w:t>
      </w:r>
      <w:r w:rsidRPr="002C51E5">
        <w:rPr>
          <w:rFonts w:ascii="Times New Roman" w:hAnsi="Times New Roman" w:cs="Times New Roman"/>
          <w:bCs/>
          <w:color w:val="000000" w:themeColor="text1"/>
          <w:sz w:val="24"/>
          <w:szCs w:val="24"/>
        </w:rPr>
        <w:t xml:space="preserve">, and </w:t>
      </w:r>
      <w:proofErr w:type="spellStart"/>
      <w:r w:rsidRPr="002C51E5">
        <w:rPr>
          <w:rFonts w:ascii="Times New Roman" w:hAnsi="Times New Roman" w:cs="Times New Roman"/>
          <w:b/>
          <w:color w:val="000000" w:themeColor="text1"/>
          <w:sz w:val="24"/>
          <w:szCs w:val="24"/>
          <w:u w:val="single"/>
        </w:rPr>
        <w:t>TapeStation</w:t>
      </w:r>
      <w:proofErr w:type="spellEnd"/>
      <w:r w:rsidRPr="002C51E5">
        <w:rPr>
          <w:rFonts w:ascii="Times New Roman" w:hAnsi="Times New Roman" w:cs="Times New Roman"/>
          <w:bCs/>
          <w:color w:val="000000" w:themeColor="text1"/>
          <w:sz w:val="24"/>
          <w:szCs w:val="24"/>
        </w:rPr>
        <w:t xml:space="preserve">. For nucleic acid and protein blots, an </w:t>
      </w:r>
      <w:r w:rsidRPr="002C51E5">
        <w:rPr>
          <w:rFonts w:ascii="Times New Roman" w:hAnsi="Times New Roman" w:cs="Times New Roman"/>
          <w:b/>
          <w:color w:val="000000" w:themeColor="text1"/>
          <w:sz w:val="24"/>
          <w:szCs w:val="24"/>
          <w:u w:val="single"/>
        </w:rPr>
        <w:t>Amersham Typhoon RGB Biomolecular Imager</w:t>
      </w:r>
      <w:r w:rsidRPr="002C51E5">
        <w:rPr>
          <w:rFonts w:ascii="Times New Roman" w:hAnsi="Times New Roman" w:cs="Times New Roman"/>
          <w:bCs/>
          <w:color w:val="000000" w:themeColor="text1"/>
          <w:sz w:val="24"/>
          <w:szCs w:val="24"/>
        </w:rPr>
        <w:t xml:space="preserve"> (GE) with a resolution of 10-500 can quantify images from gels, blots, and other formats utilizing densitometry, fluorescence, chemiluminescence, or Phosphor imaging.</w:t>
      </w:r>
    </w:p>
    <w:p w14:paraId="01AD6273"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hAnsi="Times New Roman" w:cs="Times New Roman"/>
          <w:bCs/>
          <w:color w:val="000000" w:themeColor="text1"/>
          <w:sz w:val="24"/>
          <w:szCs w:val="24"/>
        </w:rPr>
        <w:t xml:space="preserve">The Core guides all aspects of NGS and long-read sequencing and sponsors hands-on laboratory workshops on sample processing. Sample prep services are available at the Core to facilitate the labs that are unable to devote resources to preparing samples in their labs. Genomics Core has experience with whole-genome and transcriptome sequencing, small </w:t>
      </w:r>
      <w:proofErr w:type="spellStart"/>
      <w:r w:rsidRPr="002C51E5">
        <w:rPr>
          <w:rFonts w:ascii="Times New Roman" w:hAnsi="Times New Roman" w:cs="Times New Roman"/>
          <w:bCs/>
          <w:color w:val="000000" w:themeColor="text1"/>
          <w:sz w:val="24"/>
          <w:szCs w:val="24"/>
        </w:rPr>
        <w:t>RNASeq</w:t>
      </w:r>
      <w:proofErr w:type="spellEnd"/>
      <w:r w:rsidRPr="002C51E5">
        <w:rPr>
          <w:rFonts w:ascii="Times New Roman" w:hAnsi="Times New Roman" w:cs="Times New Roman"/>
          <w:bCs/>
          <w:color w:val="000000" w:themeColor="text1"/>
          <w:sz w:val="24"/>
          <w:szCs w:val="24"/>
        </w:rPr>
        <w:t xml:space="preserve">, </w:t>
      </w:r>
      <w:proofErr w:type="spellStart"/>
      <w:r w:rsidRPr="002C51E5">
        <w:rPr>
          <w:rFonts w:ascii="Times New Roman" w:hAnsi="Times New Roman" w:cs="Times New Roman"/>
          <w:bCs/>
          <w:color w:val="000000" w:themeColor="text1"/>
          <w:sz w:val="24"/>
          <w:szCs w:val="24"/>
        </w:rPr>
        <w:t>ChIPSeq</w:t>
      </w:r>
      <w:proofErr w:type="spellEnd"/>
      <w:r w:rsidRPr="002C51E5">
        <w:rPr>
          <w:rFonts w:ascii="Times New Roman" w:hAnsi="Times New Roman" w:cs="Times New Roman"/>
          <w:bCs/>
          <w:color w:val="000000" w:themeColor="text1"/>
          <w:sz w:val="24"/>
          <w:szCs w:val="24"/>
        </w:rPr>
        <w:t>, bisulfite sequencing, metagenomics, single-cell sequencing, spatial transcriptomics, long-read sequencing, and custom sequencing applications. The core has its own online billing and reservation systems for project management. All projects are managed via this secure web portal, which includes information about the services, and secure uploading of sample information and downloading of data.</w:t>
      </w:r>
    </w:p>
    <w:p w14:paraId="73A67F82" w14:textId="77777777" w:rsidR="002C51E5" w:rsidRPr="002C51E5" w:rsidRDefault="002C51E5" w:rsidP="002C51E5">
      <w:pPr>
        <w:ind w:hanging="90"/>
        <w:jc w:val="both"/>
        <w:rPr>
          <w:rFonts w:ascii="Times New Roman" w:hAnsi="Times New Roman" w:cs="Times New Roman"/>
          <w:b/>
          <w:iCs/>
          <w:color w:val="000000" w:themeColor="text1"/>
          <w:sz w:val="24"/>
          <w:szCs w:val="24"/>
        </w:rPr>
      </w:pPr>
      <w:r w:rsidRPr="002C51E5">
        <w:rPr>
          <w:rFonts w:ascii="Times New Roman" w:hAnsi="Times New Roman" w:cs="Times New Roman"/>
          <w:b/>
          <w:iCs/>
          <w:color w:val="000000" w:themeColor="text1"/>
          <w:sz w:val="24"/>
          <w:szCs w:val="24"/>
        </w:rPr>
        <w:t>User-operated instruments</w:t>
      </w:r>
    </w:p>
    <w:p w14:paraId="5576A519" w14:textId="77777777" w:rsidR="002C51E5" w:rsidRPr="002C51E5" w:rsidRDefault="002C51E5" w:rsidP="002C51E5">
      <w:pPr>
        <w:ind w:hanging="90"/>
        <w:jc w:val="both"/>
        <w:rPr>
          <w:rFonts w:ascii="Times New Roman" w:hAnsi="Times New Roman" w:cs="Times New Roman"/>
          <w:b/>
          <w:color w:val="000000" w:themeColor="text1"/>
          <w:sz w:val="24"/>
          <w:szCs w:val="24"/>
        </w:rPr>
      </w:pPr>
      <w:r w:rsidRPr="002C51E5">
        <w:rPr>
          <w:rFonts w:ascii="Times New Roman" w:hAnsi="Times New Roman" w:cs="Times New Roman"/>
          <w:b/>
          <w:color w:val="000000" w:themeColor="text1"/>
          <w:sz w:val="24"/>
          <w:szCs w:val="24"/>
        </w:rPr>
        <w:t>DNA/RNA extraction and NGS</w:t>
      </w:r>
    </w:p>
    <w:p w14:paraId="43A89F33" w14:textId="77777777" w:rsidR="002C51E5" w:rsidRPr="002C51E5" w:rsidRDefault="002C51E5" w:rsidP="002C51E5">
      <w:pPr>
        <w:ind w:hanging="90"/>
        <w:jc w:val="both"/>
        <w:rPr>
          <w:rFonts w:ascii="Times New Roman" w:hAnsi="Times New Roman" w:cs="Times New Roman"/>
          <w:bCs/>
          <w:color w:val="000000" w:themeColor="text1"/>
          <w:sz w:val="24"/>
          <w:szCs w:val="24"/>
        </w:rPr>
      </w:pPr>
      <w:proofErr w:type="spellStart"/>
      <w:r w:rsidRPr="002C51E5">
        <w:rPr>
          <w:rFonts w:ascii="Times New Roman" w:hAnsi="Times New Roman" w:cs="Times New Roman"/>
          <w:bCs/>
          <w:color w:val="000000" w:themeColor="text1"/>
          <w:sz w:val="24"/>
          <w:szCs w:val="24"/>
        </w:rPr>
        <w:t>Opentrons</w:t>
      </w:r>
      <w:proofErr w:type="spellEnd"/>
      <w:r w:rsidRPr="002C51E5">
        <w:rPr>
          <w:rFonts w:ascii="Times New Roman" w:hAnsi="Times New Roman" w:cs="Times New Roman"/>
          <w:bCs/>
          <w:color w:val="000000" w:themeColor="text1"/>
          <w:sz w:val="24"/>
          <w:szCs w:val="24"/>
        </w:rPr>
        <w:t xml:space="preserve"> OT-2 Lab Robot for liquid handling (three instruments)</w:t>
      </w:r>
    </w:p>
    <w:p w14:paraId="36F04FAE" w14:textId="77777777" w:rsidR="002C51E5" w:rsidRPr="002C51E5" w:rsidRDefault="002C51E5" w:rsidP="002C51E5">
      <w:pPr>
        <w:ind w:hanging="90"/>
        <w:jc w:val="both"/>
        <w:rPr>
          <w:rFonts w:ascii="Times New Roman" w:hAnsi="Times New Roman" w:cs="Times New Roman"/>
          <w:bCs/>
          <w:color w:val="000000" w:themeColor="text1"/>
          <w:sz w:val="24"/>
          <w:szCs w:val="24"/>
        </w:rPr>
      </w:pPr>
    </w:p>
    <w:p w14:paraId="3C2D8C1F" w14:textId="77777777" w:rsidR="002C51E5" w:rsidRPr="002C51E5" w:rsidRDefault="002C51E5" w:rsidP="002C51E5">
      <w:pPr>
        <w:ind w:hanging="90"/>
        <w:jc w:val="both"/>
        <w:rPr>
          <w:rFonts w:ascii="Times New Roman" w:hAnsi="Times New Roman" w:cs="Times New Roman"/>
          <w:b/>
          <w:color w:val="000000" w:themeColor="text1"/>
          <w:sz w:val="24"/>
          <w:szCs w:val="24"/>
        </w:rPr>
      </w:pPr>
      <w:r w:rsidRPr="002C51E5">
        <w:rPr>
          <w:rFonts w:ascii="Times New Roman" w:hAnsi="Times New Roman" w:cs="Times New Roman"/>
          <w:b/>
          <w:color w:val="000000" w:themeColor="text1"/>
          <w:sz w:val="24"/>
          <w:szCs w:val="24"/>
        </w:rPr>
        <w:t>Gene Expression</w:t>
      </w:r>
    </w:p>
    <w:p w14:paraId="3A6546CC" w14:textId="77777777" w:rsidR="002C51E5" w:rsidRPr="002C51E5" w:rsidRDefault="002C51E5" w:rsidP="002C51E5">
      <w:pPr>
        <w:ind w:hanging="90"/>
        <w:jc w:val="both"/>
        <w:rPr>
          <w:rFonts w:ascii="Times New Roman" w:hAnsi="Times New Roman" w:cs="Times New Roman"/>
          <w:bCs/>
          <w:color w:val="000000" w:themeColor="text1"/>
          <w:sz w:val="24"/>
          <w:szCs w:val="24"/>
        </w:rPr>
      </w:pPr>
      <w:proofErr w:type="spellStart"/>
      <w:r w:rsidRPr="002C51E5">
        <w:rPr>
          <w:rFonts w:ascii="Times New Roman" w:hAnsi="Times New Roman" w:cs="Times New Roman"/>
          <w:bCs/>
          <w:color w:val="000000" w:themeColor="text1"/>
          <w:sz w:val="24"/>
          <w:szCs w:val="24"/>
        </w:rPr>
        <w:t>BioRad</w:t>
      </w:r>
      <w:proofErr w:type="spellEnd"/>
      <w:r w:rsidRPr="002C51E5">
        <w:rPr>
          <w:rFonts w:ascii="Times New Roman" w:hAnsi="Times New Roman" w:cs="Times New Roman"/>
          <w:bCs/>
          <w:color w:val="000000" w:themeColor="text1"/>
          <w:sz w:val="24"/>
          <w:szCs w:val="24"/>
        </w:rPr>
        <w:t xml:space="preserve"> CFX 96 (two instruments)</w:t>
      </w:r>
    </w:p>
    <w:p w14:paraId="5A59C92A" w14:textId="77777777" w:rsidR="002C51E5" w:rsidRPr="002C51E5" w:rsidRDefault="002C51E5" w:rsidP="002C51E5">
      <w:pPr>
        <w:ind w:hanging="90"/>
        <w:jc w:val="both"/>
        <w:rPr>
          <w:rFonts w:ascii="Times New Roman" w:hAnsi="Times New Roman" w:cs="Times New Roman"/>
          <w:bCs/>
          <w:color w:val="000000" w:themeColor="text1"/>
          <w:sz w:val="24"/>
          <w:szCs w:val="24"/>
        </w:rPr>
      </w:pPr>
      <w:proofErr w:type="spellStart"/>
      <w:r w:rsidRPr="002C51E5">
        <w:rPr>
          <w:rFonts w:ascii="Times New Roman" w:hAnsi="Times New Roman" w:cs="Times New Roman"/>
          <w:bCs/>
          <w:color w:val="000000" w:themeColor="text1"/>
          <w:sz w:val="24"/>
          <w:szCs w:val="24"/>
        </w:rPr>
        <w:t>BioRad</w:t>
      </w:r>
      <w:proofErr w:type="spellEnd"/>
      <w:r w:rsidRPr="002C51E5">
        <w:rPr>
          <w:rFonts w:ascii="Times New Roman" w:hAnsi="Times New Roman" w:cs="Times New Roman"/>
          <w:bCs/>
          <w:color w:val="000000" w:themeColor="text1"/>
          <w:sz w:val="24"/>
          <w:szCs w:val="24"/>
        </w:rPr>
        <w:t xml:space="preserve"> CFX Connect (three instruments)</w:t>
      </w:r>
    </w:p>
    <w:p w14:paraId="41872DEB" w14:textId="77777777" w:rsidR="002C51E5" w:rsidRPr="002C51E5" w:rsidRDefault="002C51E5" w:rsidP="002C51E5">
      <w:pPr>
        <w:ind w:hanging="90"/>
        <w:jc w:val="both"/>
        <w:rPr>
          <w:rFonts w:ascii="Times New Roman" w:hAnsi="Times New Roman" w:cs="Times New Roman"/>
          <w:bCs/>
          <w:color w:val="000000" w:themeColor="text1"/>
          <w:sz w:val="24"/>
          <w:szCs w:val="24"/>
        </w:rPr>
      </w:pPr>
      <w:proofErr w:type="spellStart"/>
      <w:r w:rsidRPr="002C51E5">
        <w:rPr>
          <w:rFonts w:ascii="Times New Roman" w:hAnsi="Times New Roman" w:cs="Times New Roman"/>
          <w:bCs/>
          <w:color w:val="000000" w:themeColor="text1"/>
          <w:sz w:val="24"/>
          <w:szCs w:val="24"/>
        </w:rPr>
        <w:t>BioRad</w:t>
      </w:r>
      <w:proofErr w:type="spellEnd"/>
      <w:r w:rsidRPr="002C51E5">
        <w:rPr>
          <w:rFonts w:ascii="Times New Roman" w:hAnsi="Times New Roman" w:cs="Times New Roman"/>
          <w:bCs/>
          <w:color w:val="000000" w:themeColor="text1"/>
          <w:sz w:val="24"/>
          <w:szCs w:val="24"/>
        </w:rPr>
        <w:t xml:space="preserve"> iQ5 (two instruments)</w:t>
      </w:r>
    </w:p>
    <w:p w14:paraId="79F96C28" w14:textId="77777777" w:rsidR="002C51E5" w:rsidRPr="002C51E5" w:rsidRDefault="002C51E5" w:rsidP="002C51E5">
      <w:pPr>
        <w:ind w:hanging="90"/>
        <w:jc w:val="both"/>
        <w:rPr>
          <w:rFonts w:ascii="Times New Roman" w:hAnsi="Times New Roman" w:cs="Times New Roman"/>
          <w:bCs/>
          <w:color w:val="000000" w:themeColor="text1"/>
          <w:sz w:val="24"/>
          <w:szCs w:val="24"/>
        </w:rPr>
      </w:pPr>
      <w:proofErr w:type="spellStart"/>
      <w:r w:rsidRPr="002C51E5">
        <w:rPr>
          <w:rFonts w:ascii="Times New Roman" w:hAnsi="Times New Roman" w:cs="Times New Roman"/>
          <w:bCs/>
          <w:color w:val="000000" w:themeColor="text1"/>
          <w:sz w:val="24"/>
          <w:szCs w:val="24"/>
        </w:rPr>
        <w:t>BioRad</w:t>
      </w:r>
      <w:proofErr w:type="spellEnd"/>
      <w:r w:rsidRPr="002C51E5">
        <w:rPr>
          <w:rFonts w:ascii="Times New Roman" w:hAnsi="Times New Roman" w:cs="Times New Roman"/>
          <w:bCs/>
          <w:color w:val="000000" w:themeColor="text1"/>
          <w:sz w:val="24"/>
          <w:szCs w:val="24"/>
        </w:rPr>
        <w:t xml:space="preserve"> MYQ</w:t>
      </w:r>
    </w:p>
    <w:p w14:paraId="70B727ED" w14:textId="77777777" w:rsidR="002C51E5" w:rsidRPr="002C51E5" w:rsidRDefault="002C51E5" w:rsidP="002C51E5">
      <w:pPr>
        <w:ind w:hanging="90"/>
        <w:jc w:val="both"/>
        <w:rPr>
          <w:rFonts w:ascii="Times New Roman" w:hAnsi="Times New Roman" w:cs="Times New Roman"/>
          <w:bCs/>
          <w:color w:val="000000" w:themeColor="text1"/>
          <w:sz w:val="24"/>
          <w:szCs w:val="24"/>
        </w:rPr>
      </w:pPr>
    </w:p>
    <w:p w14:paraId="3D83906E" w14:textId="77777777" w:rsidR="002C51E5" w:rsidRPr="002C51E5" w:rsidRDefault="002C51E5" w:rsidP="002C51E5">
      <w:pPr>
        <w:ind w:hanging="90"/>
        <w:jc w:val="both"/>
        <w:rPr>
          <w:rFonts w:ascii="Times New Roman" w:hAnsi="Times New Roman" w:cs="Times New Roman"/>
          <w:b/>
          <w:color w:val="000000" w:themeColor="text1"/>
          <w:sz w:val="24"/>
          <w:szCs w:val="24"/>
        </w:rPr>
      </w:pPr>
      <w:r w:rsidRPr="002C51E5">
        <w:rPr>
          <w:rFonts w:ascii="Times New Roman" w:hAnsi="Times New Roman" w:cs="Times New Roman"/>
          <w:b/>
          <w:color w:val="000000" w:themeColor="text1"/>
          <w:sz w:val="24"/>
          <w:szCs w:val="24"/>
        </w:rPr>
        <w:t>DNA and Protein Analysis and Quantification</w:t>
      </w:r>
    </w:p>
    <w:p w14:paraId="7B48A400" w14:textId="77777777" w:rsidR="002C51E5" w:rsidRPr="002C51E5" w:rsidRDefault="002C51E5" w:rsidP="002C51E5">
      <w:pPr>
        <w:ind w:hanging="90"/>
        <w:jc w:val="both"/>
        <w:rPr>
          <w:rFonts w:ascii="Times New Roman" w:hAnsi="Times New Roman" w:cs="Times New Roman"/>
          <w:bCs/>
          <w:color w:val="000000" w:themeColor="text1"/>
          <w:sz w:val="24"/>
          <w:szCs w:val="24"/>
        </w:rPr>
      </w:pPr>
      <w:proofErr w:type="spellStart"/>
      <w:r w:rsidRPr="002C51E5">
        <w:rPr>
          <w:rFonts w:ascii="Times New Roman" w:hAnsi="Times New Roman" w:cs="Times New Roman"/>
          <w:bCs/>
          <w:color w:val="000000" w:themeColor="text1"/>
          <w:sz w:val="24"/>
          <w:szCs w:val="24"/>
        </w:rPr>
        <w:t>SpectraMax</w:t>
      </w:r>
      <w:proofErr w:type="spellEnd"/>
      <w:r w:rsidRPr="002C51E5">
        <w:rPr>
          <w:rFonts w:ascii="Times New Roman" w:hAnsi="Times New Roman" w:cs="Times New Roman"/>
          <w:bCs/>
          <w:color w:val="000000" w:themeColor="text1"/>
          <w:sz w:val="24"/>
          <w:szCs w:val="24"/>
        </w:rPr>
        <w:t xml:space="preserve"> iD5 Multi-Mode Microplate Reader with Injector</w:t>
      </w:r>
    </w:p>
    <w:p w14:paraId="2CC87E40"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hAnsi="Times New Roman" w:cs="Times New Roman"/>
          <w:bCs/>
          <w:color w:val="000000" w:themeColor="text1"/>
          <w:sz w:val="24"/>
          <w:szCs w:val="24"/>
        </w:rPr>
        <w:t>Nanodrop ND-1000 Spectrophotometer, Nanodrop 2000c Spectrophotometer</w:t>
      </w:r>
    </w:p>
    <w:p w14:paraId="22A0269B"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hAnsi="Times New Roman" w:cs="Times New Roman"/>
          <w:bCs/>
          <w:color w:val="000000" w:themeColor="text1"/>
          <w:sz w:val="24"/>
          <w:szCs w:val="24"/>
        </w:rPr>
        <w:t>Qubit 2.0, Qubit 4.0 Fluorescence Reader</w:t>
      </w:r>
    </w:p>
    <w:p w14:paraId="74F5DB7A" w14:textId="77777777" w:rsidR="002C51E5" w:rsidRPr="002C51E5" w:rsidRDefault="002C51E5" w:rsidP="002C51E5">
      <w:pPr>
        <w:ind w:hanging="90"/>
        <w:jc w:val="both"/>
        <w:rPr>
          <w:rFonts w:ascii="Times New Roman" w:hAnsi="Times New Roman" w:cs="Times New Roman"/>
          <w:bCs/>
          <w:color w:val="000000" w:themeColor="text1"/>
          <w:sz w:val="24"/>
          <w:szCs w:val="24"/>
        </w:rPr>
      </w:pPr>
    </w:p>
    <w:p w14:paraId="16F1C8FD" w14:textId="77777777" w:rsidR="002C51E5" w:rsidRPr="002C51E5" w:rsidRDefault="002C51E5" w:rsidP="002C51E5">
      <w:pPr>
        <w:ind w:hanging="90"/>
        <w:jc w:val="both"/>
        <w:rPr>
          <w:rFonts w:ascii="Times New Roman" w:hAnsi="Times New Roman" w:cs="Times New Roman"/>
          <w:b/>
          <w:color w:val="000000" w:themeColor="text1"/>
          <w:sz w:val="24"/>
          <w:szCs w:val="24"/>
        </w:rPr>
      </w:pPr>
      <w:r w:rsidRPr="002C51E5">
        <w:rPr>
          <w:rFonts w:ascii="Times New Roman" w:hAnsi="Times New Roman" w:cs="Times New Roman"/>
          <w:b/>
          <w:color w:val="000000" w:themeColor="text1"/>
          <w:sz w:val="24"/>
          <w:szCs w:val="24"/>
        </w:rPr>
        <w:t>Imaging</w:t>
      </w:r>
    </w:p>
    <w:p w14:paraId="54B85A84"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hAnsi="Times New Roman" w:cs="Times New Roman"/>
          <w:bCs/>
          <w:color w:val="000000" w:themeColor="text1"/>
          <w:sz w:val="24"/>
          <w:szCs w:val="24"/>
        </w:rPr>
        <w:t>Amersham Typhoon RGB Biomolecular Imager</w:t>
      </w:r>
    </w:p>
    <w:p w14:paraId="3F75542B" w14:textId="77777777" w:rsidR="002C51E5" w:rsidRPr="002C51E5" w:rsidRDefault="002C51E5" w:rsidP="002C51E5">
      <w:pPr>
        <w:ind w:hanging="90"/>
        <w:jc w:val="both"/>
        <w:rPr>
          <w:rFonts w:ascii="Times New Roman" w:hAnsi="Times New Roman" w:cs="Times New Roman"/>
          <w:bCs/>
          <w:color w:val="000000" w:themeColor="text1"/>
          <w:sz w:val="24"/>
          <w:szCs w:val="24"/>
          <w:lang w:val="de-DE"/>
        </w:rPr>
      </w:pPr>
      <w:proofErr w:type="spellStart"/>
      <w:r w:rsidRPr="002C51E5">
        <w:rPr>
          <w:rFonts w:ascii="Times New Roman" w:hAnsi="Times New Roman" w:cs="Times New Roman"/>
          <w:bCs/>
          <w:color w:val="000000" w:themeColor="text1"/>
          <w:sz w:val="24"/>
          <w:szCs w:val="24"/>
          <w:lang w:val="de-DE"/>
        </w:rPr>
        <w:t>Biorad</w:t>
      </w:r>
      <w:proofErr w:type="spellEnd"/>
      <w:r w:rsidRPr="002C51E5">
        <w:rPr>
          <w:rFonts w:ascii="Times New Roman" w:hAnsi="Times New Roman" w:cs="Times New Roman"/>
          <w:bCs/>
          <w:color w:val="000000" w:themeColor="text1"/>
          <w:sz w:val="24"/>
          <w:szCs w:val="24"/>
          <w:lang w:val="de-DE"/>
        </w:rPr>
        <w:t xml:space="preserve"> Gel </w:t>
      </w:r>
      <w:proofErr w:type="spellStart"/>
      <w:r w:rsidRPr="002C51E5">
        <w:rPr>
          <w:rFonts w:ascii="Times New Roman" w:hAnsi="Times New Roman" w:cs="Times New Roman"/>
          <w:bCs/>
          <w:color w:val="000000" w:themeColor="text1"/>
          <w:sz w:val="24"/>
          <w:szCs w:val="24"/>
          <w:lang w:val="de-DE"/>
        </w:rPr>
        <w:t>Doz</w:t>
      </w:r>
      <w:proofErr w:type="spellEnd"/>
      <w:r w:rsidRPr="002C51E5">
        <w:rPr>
          <w:rFonts w:ascii="Times New Roman" w:hAnsi="Times New Roman" w:cs="Times New Roman"/>
          <w:bCs/>
          <w:color w:val="000000" w:themeColor="text1"/>
          <w:sz w:val="24"/>
          <w:szCs w:val="24"/>
          <w:lang w:val="de-DE"/>
        </w:rPr>
        <w:t xml:space="preserve"> EZ </w:t>
      </w:r>
      <w:proofErr w:type="spellStart"/>
      <w:r w:rsidRPr="002C51E5">
        <w:rPr>
          <w:rFonts w:ascii="Times New Roman" w:hAnsi="Times New Roman" w:cs="Times New Roman"/>
          <w:bCs/>
          <w:color w:val="000000" w:themeColor="text1"/>
          <w:sz w:val="24"/>
          <w:szCs w:val="24"/>
          <w:lang w:val="de-DE"/>
        </w:rPr>
        <w:t>with</w:t>
      </w:r>
      <w:proofErr w:type="spellEnd"/>
      <w:r w:rsidRPr="002C51E5">
        <w:rPr>
          <w:rFonts w:ascii="Times New Roman" w:hAnsi="Times New Roman" w:cs="Times New Roman"/>
          <w:bCs/>
          <w:color w:val="000000" w:themeColor="text1"/>
          <w:sz w:val="24"/>
          <w:szCs w:val="24"/>
          <w:lang w:val="de-DE"/>
        </w:rPr>
        <w:t xml:space="preserve"> Image Lab Software</w:t>
      </w:r>
    </w:p>
    <w:p w14:paraId="132AC3C6" w14:textId="77777777" w:rsidR="002C51E5" w:rsidRPr="002C51E5" w:rsidRDefault="002C51E5" w:rsidP="002C51E5">
      <w:pPr>
        <w:jc w:val="both"/>
        <w:rPr>
          <w:rFonts w:ascii="Times New Roman" w:hAnsi="Times New Roman" w:cs="Times New Roman"/>
          <w:bCs/>
          <w:color w:val="000000" w:themeColor="text1"/>
          <w:sz w:val="24"/>
          <w:szCs w:val="24"/>
          <w:lang w:val="de-DE"/>
        </w:rPr>
      </w:pPr>
    </w:p>
    <w:p w14:paraId="6AA547B6" w14:textId="77777777" w:rsidR="002C51E5" w:rsidRPr="002C51E5" w:rsidRDefault="002C51E5" w:rsidP="002C51E5">
      <w:pPr>
        <w:ind w:hanging="90"/>
        <w:jc w:val="both"/>
        <w:rPr>
          <w:rFonts w:ascii="Times New Roman" w:hAnsi="Times New Roman" w:cs="Times New Roman"/>
          <w:b/>
          <w:color w:val="000000" w:themeColor="text1"/>
          <w:sz w:val="24"/>
          <w:szCs w:val="24"/>
        </w:rPr>
      </w:pPr>
      <w:r w:rsidRPr="002C51E5">
        <w:rPr>
          <w:rFonts w:ascii="Times New Roman" w:hAnsi="Times New Roman" w:cs="Times New Roman"/>
          <w:b/>
          <w:color w:val="000000" w:themeColor="text1"/>
          <w:sz w:val="24"/>
          <w:szCs w:val="24"/>
        </w:rPr>
        <w:t>Incubators/Shakers</w:t>
      </w:r>
    </w:p>
    <w:p w14:paraId="61BD0794" w14:textId="77777777" w:rsidR="002C51E5" w:rsidRPr="002C51E5" w:rsidRDefault="002C51E5" w:rsidP="002C51E5">
      <w:pPr>
        <w:ind w:hanging="90"/>
        <w:jc w:val="both"/>
        <w:rPr>
          <w:rFonts w:ascii="Times New Roman" w:hAnsi="Times New Roman" w:cs="Times New Roman"/>
          <w:bCs/>
          <w:color w:val="000000" w:themeColor="text1"/>
          <w:sz w:val="24"/>
          <w:szCs w:val="24"/>
        </w:rPr>
      </w:pPr>
      <w:proofErr w:type="spellStart"/>
      <w:r w:rsidRPr="002C51E5">
        <w:rPr>
          <w:rFonts w:ascii="Times New Roman" w:hAnsi="Times New Roman" w:cs="Times New Roman"/>
          <w:bCs/>
          <w:color w:val="000000" w:themeColor="text1"/>
          <w:sz w:val="24"/>
          <w:szCs w:val="24"/>
        </w:rPr>
        <w:t>Labnet</w:t>
      </w:r>
      <w:proofErr w:type="spellEnd"/>
      <w:r w:rsidRPr="002C51E5">
        <w:rPr>
          <w:rFonts w:ascii="Times New Roman" w:hAnsi="Times New Roman" w:cs="Times New Roman"/>
          <w:bCs/>
          <w:color w:val="000000" w:themeColor="text1"/>
          <w:sz w:val="24"/>
          <w:szCs w:val="24"/>
        </w:rPr>
        <w:t xml:space="preserve"> </w:t>
      </w:r>
      <w:proofErr w:type="spellStart"/>
      <w:r w:rsidRPr="002C51E5">
        <w:rPr>
          <w:rFonts w:ascii="Times New Roman" w:hAnsi="Times New Roman" w:cs="Times New Roman"/>
          <w:bCs/>
          <w:color w:val="000000" w:themeColor="text1"/>
          <w:sz w:val="24"/>
          <w:szCs w:val="24"/>
        </w:rPr>
        <w:t>Vortemp</w:t>
      </w:r>
      <w:proofErr w:type="spellEnd"/>
      <w:r w:rsidRPr="002C51E5">
        <w:rPr>
          <w:rFonts w:ascii="Times New Roman" w:hAnsi="Times New Roman" w:cs="Times New Roman"/>
          <w:bCs/>
          <w:color w:val="000000" w:themeColor="text1"/>
          <w:sz w:val="24"/>
          <w:szCs w:val="24"/>
        </w:rPr>
        <w:t xml:space="preserve"> 56 Incubator (2 blocks)</w:t>
      </w:r>
    </w:p>
    <w:p w14:paraId="2BD89946" w14:textId="77777777" w:rsidR="002C51E5" w:rsidRPr="002C51E5" w:rsidRDefault="002C51E5" w:rsidP="002C51E5">
      <w:pPr>
        <w:ind w:hanging="90"/>
        <w:jc w:val="both"/>
        <w:rPr>
          <w:rFonts w:ascii="Times New Roman" w:hAnsi="Times New Roman" w:cs="Times New Roman"/>
          <w:bCs/>
          <w:color w:val="000000" w:themeColor="text1"/>
          <w:sz w:val="24"/>
          <w:szCs w:val="24"/>
        </w:rPr>
      </w:pPr>
      <w:proofErr w:type="spellStart"/>
      <w:r w:rsidRPr="002C51E5">
        <w:rPr>
          <w:rFonts w:ascii="Times New Roman" w:hAnsi="Times New Roman" w:cs="Times New Roman"/>
          <w:bCs/>
          <w:color w:val="000000" w:themeColor="text1"/>
          <w:sz w:val="24"/>
          <w:szCs w:val="24"/>
        </w:rPr>
        <w:t>Mcconnell</w:t>
      </w:r>
      <w:proofErr w:type="spellEnd"/>
      <w:r w:rsidRPr="002C51E5">
        <w:rPr>
          <w:rFonts w:ascii="Times New Roman" w:hAnsi="Times New Roman" w:cs="Times New Roman"/>
          <w:bCs/>
          <w:color w:val="000000" w:themeColor="text1"/>
          <w:sz w:val="24"/>
          <w:szCs w:val="24"/>
        </w:rPr>
        <w:t xml:space="preserve"> Research Mini-grow 384 Incubator (4 blocks) </w:t>
      </w:r>
    </w:p>
    <w:p w14:paraId="2F7CEA79"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hAnsi="Times New Roman" w:cs="Times New Roman"/>
          <w:bCs/>
          <w:color w:val="000000" w:themeColor="text1"/>
          <w:sz w:val="24"/>
          <w:szCs w:val="24"/>
        </w:rPr>
        <w:t xml:space="preserve">Fisher </w:t>
      </w:r>
      <w:proofErr w:type="spellStart"/>
      <w:r w:rsidRPr="002C51E5">
        <w:rPr>
          <w:rFonts w:ascii="Times New Roman" w:hAnsi="Times New Roman" w:cs="Times New Roman"/>
          <w:bCs/>
          <w:color w:val="000000" w:themeColor="text1"/>
          <w:sz w:val="24"/>
          <w:szCs w:val="24"/>
        </w:rPr>
        <w:t>Isotemp</w:t>
      </w:r>
      <w:proofErr w:type="spellEnd"/>
      <w:r w:rsidRPr="002C51E5">
        <w:rPr>
          <w:rFonts w:ascii="Times New Roman" w:hAnsi="Times New Roman" w:cs="Times New Roman"/>
          <w:bCs/>
          <w:color w:val="000000" w:themeColor="text1"/>
          <w:sz w:val="24"/>
          <w:szCs w:val="24"/>
        </w:rPr>
        <w:t xml:space="preserve"> Incubator</w:t>
      </w:r>
    </w:p>
    <w:p w14:paraId="663BE7D7"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hAnsi="Times New Roman" w:cs="Times New Roman"/>
          <w:bCs/>
          <w:color w:val="000000" w:themeColor="text1"/>
          <w:sz w:val="24"/>
          <w:szCs w:val="24"/>
        </w:rPr>
        <w:t>Fisher Low-Temperature Incubator</w:t>
      </w:r>
    </w:p>
    <w:p w14:paraId="233A12AD" w14:textId="77777777" w:rsidR="002C51E5" w:rsidRPr="002C51E5" w:rsidRDefault="002C51E5" w:rsidP="002C51E5">
      <w:pPr>
        <w:ind w:hanging="90"/>
        <w:jc w:val="both"/>
        <w:rPr>
          <w:rFonts w:ascii="Times New Roman" w:hAnsi="Times New Roman" w:cs="Times New Roman"/>
          <w:bCs/>
          <w:color w:val="000000" w:themeColor="text1"/>
          <w:sz w:val="24"/>
          <w:szCs w:val="24"/>
        </w:rPr>
      </w:pPr>
      <w:proofErr w:type="spellStart"/>
      <w:r w:rsidRPr="002C51E5">
        <w:rPr>
          <w:rFonts w:ascii="Times New Roman" w:hAnsi="Times New Roman" w:cs="Times New Roman"/>
          <w:bCs/>
          <w:color w:val="000000" w:themeColor="text1"/>
          <w:sz w:val="24"/>
          <w:szCs w:val="24"/>
        </w:rPr>
        <w:t>LabLine</w:t>
      </w:r>
      <w:proofErr w:type="spellEnd"/>
      <w:r w:rsidRPr="002C51E5">
        <w:rPr>
          <w:rFonts w:ascii="Times New Roman" w:hAnsi="Times New Roman" w:cs="Times New Roman"/>
          <w:bCs/>
          <w:color w:val="000000" w:themeColor="text1"/>
          <w:sz w:val="24"/>
          <w:szCs w:val="24"/>
        </w:rPr>
        <w:t xml:space="preserve"> </w:t>
      </w:r>
      <w:proofErr w:type="spellStart"/>
      <w:r w:rsidRPr="002C51E5">
        <w:rPr>
          <w:rFonts w:ascii="Times New Roman" w:hAnsi="Times New Roman" w:cs="Times New Roman"/>
          <w:bCs/>
          <w:color w:val="000000" w:themeColor="text1"/>
          <w:sz w:val="24"/>
          <w:szCs w:val="24"/>
        </w:rPr>
        <w:t>Titerplate</w:t>
      </w:r>
      <w:proofErr w:type="spellEnd"/>
      <w:r w:rsidRPr="002C51E5">
        <w:rPr>
          <w:rFonts w:ascii="Times New Roman" w:hAnsi="Times New Roman" w:cs="Times New Roman"/>
          <w:bCs/>
          <w:color w:val="000000" w:themeColor="text1"/>
          <w:sz w:val="24"/>
          <w:szCs w:val="24"/>
        </w:rPr>
        <w:t xml:space="preserve"> Shaker (6 x 96 well plates)</w:t>
      </w:r>
    </w:p>
    <w:p w14:paraId="05EB3C16" w14:textId="232C9A93" w:rsidR="002C51E5" w:rsidRPr="002C51E5" w:rsidRDefault="002C51E5" w:rsidP="002C51E5">
      <w:pPr>
        <w:ind w:hanging="90"/>
        <w:jc w:val="both"/>
        <w:rPr>
          <w:rFonts w:ascii="Times New Roman" w:hAnsi="Times New Roman" w:cs="Times New Roman"/>
          <w:bCs/>
          <w:color w:val="000000" w:themeColor="text1"/>
          <w:sz w:val="24"/>
          <w:szCs w:val="24"/>
        </w:rPr>
      </w:pPr>
    </w:p>
    <w:p w14:paraId="2C6CC52D" w14:textId="77777777" w:rsidR="002C51E5" w:rsidRPr="002C51E5" w:rsidRDefault="002C51E5" w:rsidP="002C51E5">
      <w:pPr>
        <w:ind w:hanging="90"/>
        <w:jc w:val="both"/>
        <w:rPr>
          <w:rFonts w:ascii="Times New Roman" w:hAnsi="Times New Roman" w:cs="Times New Roman"/>
          <w:b/>
          <w:color w:val="000000" w:themeColor="text1"/>
          <w:sz w:val="24"/>
          <w:szCs w:val="24"/>
        </w:rPr>
      </w:pPr>
      <w:r w:rsidRPr="002C51E5">
        <w:rPr>
          <w:rFonts w:ascii="Times New Roman" w:hAnsi="Times New Roman" w:cs="Times New Roman"/>
          <w:b/>
          <w:color w:val="000000" w:themeColor="text1"/>
          <w:sz w:val="24"/>
          <w:szCs w:val="24"/>
        </w:rPr>
        <w:t>Miscellaneous Equipment</w:t>
      </w:r>
    </w:p>
    <w:p w14:paraId="63D51721"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hAnsi="Times New Roman" w:cs="Times New Roman"/>
          <w:bCs/>
          <w:color w:val="000000" w:themeColor="text1"/>
          <w:sz w:val="24"/>
          <w:szCs w:val="24"/>
        </w:rPr>
        <w:t>Thermocyclers</w:t>
      </w:r>
    </w:p>
    <w:p w14:paraId="00E52748"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hAnsi="Times New Roman" w:cs="Times New Roman"/>
          <w:bCs/>
          <w:color w:val="000000" w:themeColor="text1"/>
          <w:sz w:val="24"/>
          <w:szCs w:val="24"/>
        </w:rPr>
        <w:t>Heated and Refrigerated Water Baths</w:t>
      </w:r>
    </w:p>
    <w:p w14:paraId="7220A3E9" w14:textId="77777777" w:rsidR="002C51E5" w:rsidRPr="002C51E5" w:rsidRDefault="002C51E5" w:rsidP="002C51E5">
      <w:pPr>
        <w:ind w:hanging="90"/>
        <w:jc w:val="both"/>
        <w:rPr>
          <w:rFonts w:ascii="Times New Roman" w:hAnsi="Times New Roman" w:cs="Times New Roman"/>
          <w:bCs/>
          <w:color w:val="000000" w:themeColor="text1"/>
          <w:sz w:val="24"/>
          <w:szCs w:val="24"/>
        </w:rPr>
      </w:pPr>
      <w:r w:rsidRPr="002C51E5">
        <w:rPr>
          <w:rFonts w:ascii="Times New Roman" w:hAnsi="Times New Roman" w:cs="Times New Roman"/>
          <w:bCs/>
          <w:color w:val="000000" w:themeColor="text1"/>
          <w:sz w:val="24"/>
          <w:szCs w:val="24"/>
        </w:rPr>
        <w:t>Centrifuges and Microcentrifuges</w:t>
      </w:r>
    </w:p>
    <w:p w14:paraId="693D08AC" w14:textId="77777777" w:rsidR="002C51E5" w:rsidRPr="002C51E5" w:rsidRDefault="002C51E5" w:rsidP="002C51E5">
      <w:pPr>
        <w:ind w:hanging="90"/>
        <w:jc w:val="both"/>
        <w:rPr>
          <w:rFonts w:ascii="Times New Roman" w:hAnsi="Times New Roman" w:cs="Times New Roman"/>
          <w:bCs/>
          <w:color w:val="000000" w:themeColor="text1"/>
          <w:sz w:val="24"/>
          <w:szCs w:val="24"/>
        </w:rPr>
      </w:pPr>
    </w:p>
    <w:p w14:paraId="65828A92" w14:textId="77777777" w:rsidR="002C51E5" w:rsidRPr="002C51E5" w:rsidRDefault="002C51E5" w:rsidP="002C51E5">
      <w:pPr>
        <w:spacing w:before="60" w:afterLines="60" w:after="144"/>
        <w:ind w:hanging="90"/>
        <w:jc w:val="both"/>
        <w:rPr>
          <w:rFonts w:ascii="Times New Roman" w:eastAsia="Times New Roman" w:hAnsi="Times New Roman" w:cs="Times New Roman"/>
          <w:bCs/>
          <w:sz w:val="24"/>
          <w:szCs w:val="24"/>
        </w:rPr>
      </w:pPr>
      <w:r w:rsidRPr="002C51E5">
        <w:rPr>
          <w:rFonts w:ascii="Times New Roman" w:eastAsia="Times New Roman" w:hAnsi="Times New Roman" w:cs="Times New Roman"/>
          <w:bCs/>
          <w:sz w:val="24"/>
          <w:szCs w:val="24"/>
        </w:rPr>
        <w:t xml:space="preserve"> For routine Sanger sequencing, the facility utilizes a 96-capillary sequencer (ABI 3730XL), whereas for genotyping, and software (ABI </w:t>
      </w:r>
      <w:proofErr w:type="spellStart"/>
      <w:r w:rsidRPr="002C51E5">
        <w:rPr>
          <w:rFonts w:ascii="Times New Roman" w:eastAsia="Times New Roman" w:hAnsi="Times New Roman" w:cs="Times New Roman"/>
          <w:bCs/>
          <w:sz w:val="24"/>
          <w:szCs w:val="24"/>
        </w:rPr>
        <w:t>GeneMapper</w:t>
      </w:r>
      <w:proofErr w:type="spellEnd"/>
      <w:r w:rsidRPr="002C51E5">
        <w:rPr>
          <w:rFonts w:ascii="Times New Roman" w:eastAsia="Times New Roman" w:hAnsi="Times New Roman" w:cs="Times New Roman"/>
          <w:bCs/>
          <w:sz w:val="24"/>
          <w:szCs w:val="24"/>
        </w:rPr>
        <w:t xml:space="preserve">) are employed. Quality control of RNAs (Agilent Bioanalyzer, Fragment Analyzer) are offered. For nucleic acid and protein blots, </w:t>
      </w:r>
      <w:r w:rsidRPr="002C51E5">
        <w:rPr>
          <w:rFonts w:ascii="Times New Roman" w:eastAsia="Times New Roman" w:hAnsi="Times New Roman" w:cs="Times New Roman"/>
          <w:b/>
          <w:bCs/>
          <w:sz w:val="24"/>
          <w:szCs w:val="24"/>
          <w:u w:val="single"/>
        </w:rPr>
        <w:t>Amersham Typhoon RGB Biomolecular Imager</w:t>
      </w:r>
      <w:r w:rsidRPr="002C51E5">
        <w:rPr>
          <w:rFonts w:ascii="Times New Roman" w:eastAsia="Times New Roman" w:hAnsi="Times New Roman" w:cs="Times New Roman"/>
          <w:bCs/>
          <w:sz w:val="24"/>
          <w:szCs w:val="24"/>
        </w:rPr>
        <w:t xml:space="preserve"> (GE) with high resolution quantifies images from gels, blots and other formats utilizing fluorescence, chemiluminescence or </w:t>
      </w:r>
      <w:proofErr w:type="spellStart"/>
      <w:r w:rsidRPr="002C51E5">
        <w:rPr>
          <w:rFonts w:ascii="Times New Roman" w:eastAsia="Times New Roman" w:hAnsi="Times New Roman" w:cs="Times New Roman"/>
          <w:bCs/>
          <w:sz w:val="24"/>
          <w:szCs w:val="24"/>
        </w:rPr>
        <w:t>phosphoimaging</w:t>
      </w:r>
      <w:proofErr w:type="spellEnd"/>
      <w:r w:rsidRPr="002C51E5">
        <w:rPr>
          <w:rFonts w:ascii="Times New Roman" w:eastAsia="Times New Roman" w:hAnsi="Times New Roman" w:cs="Times New Roman"/>
          <w:bCs/>
          <w:sz w:val="24"/>
          <w:szCs w:val="24"/>
        </w:rPr>
        <w:t>. The core has a gel doc (</w:t>
      </w:r>
      <w:proofErr w:type="spellStart"/>
      <w:r w:rsidRPr="002C51E5">
        <w:rPr>
          <w:rFonts w:ascii="Times New Roman" w:eastAsia="Times New Roman" w:hAnsi="Times New Roman" w:cs="Times New Roman"/>
          <w:bCs/>
          <w:sz w:val="24"/>
          <w:szCs w:val="24"/>
        </w:rPr>
        <w:t>Biorad</w:t>
      </w:r>
      <w:proofErr w:type="spellEnd"/>
      <w:r w:rsidRPr="002C51E5">
        <w:rPr>
          <w:rFonts w:ascii="Times New Roman" w:eastAsia="Times New Roman" w:hAnsi="Times New Roman" w:cs="Times New Roman"/>
          <w:bCs/>
          <w:sz w:val="24"/>
          <w:szCs w:val="24"/>
        </w:rPr>
        <w:t xml:space="preserve"> Easy Doc and imaging software) with UV, white light and other </w:t>
      </w:r>
      <w:proofErr w:type="gramStart"/>
      <w:r w:rsidRPr="002C51E5">
        <w:rPr>
          <w:rFonts w:ascii="Times New Roman" w:eastAsia="Times New Roman" w:hAnsi="Times New Roman" w:cs="Times New Roman"/>
          <w:bCs/>
          <w:sz w:val="24"/>
          <w:szCs w:val="24"/>
        </w:rPr>
        <w:t>filters..</w:t>
      </w:r>
      <w:proofErr w:type="gramEnd"/>
      <w:r w:rsidRPr="002C51E5">
        <w:rPr>
          <w:rFonts w:ascii="Times New Roman" w:eastAsia="Times New Roman" w:hAnsi="Times New Roman" w:cs="Times New Roman"/>
          <w:bCs/>
          <w:sz w:val="24"/>
          <w:szCs w:val="24"/>
        </w:rPr>
        <w:t xml:space="preserve"> Gene expression can be validated by quantitative PCR using one of six </w:t>
      </w:r>
      <w:proofErr w:type="spellStart"/>
      <w:r w:rsidRPr="002C51E5">
        <w:rPr>
          <w:rFonts w:ascii="Times New Roman" w:eastAsia="Times New Roman" w:hAnsi="Times New Roman" w:cs="Times New Roman"/>
          <w:bCs/>
          <w:sz w:val="24"/>
          <w:szCs w:val="24"/>
        </w:rPr>
        <w:t>Biorad</w:t>
      </w:r>
      <w:proofErr w:type="spellEnd"/>
      <w:r w:rsidRPr="002C51E5">
        <w:rPr>
          <w:rFonts w:ascii="Times New Roman" w:eastAsia="Times New Roman" w:hAnsi="Times New Roman" w:cs="Times New Roman"/>
          <w:bCs/>
          <w:sz w:val="24"/>
          <w:szCs w:val="24"/>
        </w:rPr>
        <w:t xml:space="preserve"> real time qPCR instruments (CFX96, CFX Connect x 2, iQ5, </w:t>
      </w:r>
      <w:proofErr w:type="spellStart"/>
      <w:r w:rsidRPr="002C51E5">
        <w:rPr>
          <w:rFonts w:ascii="Times New Roman" w:eastAsia="Times New Roman" w:hAnsi="Times New Roman" w:cs="Times New Roman"/>
          <w:bCs/>
          <w:sz w:val="24"/>
          <w:szCs w:val="24"/>
        </w:rPr>
        <w:t>MYiQ</w:t>
      </w:r>
      <w:proofErr w:type="spellEnd"/>
      <w:r w:rsidRPr="002C51E5">
        <w:rPr>
          <w:rFonts w:ascii="Times New Roman" w:eastAsia="Times New Roman" w:hAnsi="Times New Roman" w:cs="Times New Roman"/>
          <w:bCs/>
          <w:sz w:val="24"/>
          <w:szCs w:val="24"/>
        </w:rPr>
        <w:t>).</w:t>
      </w:r>
    </w:p>
    <w:p w14:paraId="43D2E940" w14:textId="77777777" w:rsidR="002C51E5" w:rsidRPr="002C51E5" w:rsidRDefault="002C51E5" w:rsidP="00523686">
      <w:pPr>
        <w:tabs>
          <w:tab w:val="left" w:pos="450"/>
        </w:tabs>
        <w:spacing w:before="60" w:afterLines="60" w:after="144"/>
        <w:ind w:hanging="990"/>
        <w:jc w:val="both"/>
        <w:rPr>
          <w:rFonts w:ascii="Times New Roman" w:eastAsia="Times New Roman" w:hAnsi="Times New Roman" w:cs="Times New Roman"/>
          <w:bCs/>
          <w:sz w:val="24"/>
          <w:szCs w:val="24"/>
        </w:rPr>
      </w:pPr>
    </w:p>
    <w:p w14:paraId="510DDF15" w14:textId="439FE6A9" w:rsidR="002C51E5" w:rsidRPr="002C51E5" w:rsidRDefault="002C51E5" w:rsidP="00523686">
      <w:pPr>
        <w:pStyle w:val="ListParagraph"/>
        <w:numPr>
          <w:ilvl w:val="0"/>
          <w:numId w:val="1"/>
        </w:numPr>
        <w:tabs>
          <w:tab w:val="left" w:pos="450"/>
        </w:tabs>
        <w:spacing w:before="60" w:afterLines="60" w:after="144"/>
        <w:ind w:hanging="990"/>
        <w:jc w:val="both"/>
        <w:rPr>
          <w:rFonts w:ascii="Times New Roman" w:hAnsi="Times New Roman" w:cs="Times New Roman"/>
          <w:sz w:val="24"/>
          <w:szCs w:val="24"/>
        </w:rPr>
      </w:pPr>
      <w:r w:rsidRPr="002C51E5">
        <w:rPr>
          <w:rFonts w:ascii="Times New Roman" w:hAnsi="Times New Roman" w:cs="Times New Roman"/>
          <w:b/>
          <w:sz w:val="24"/>
          <w:szCs w:val="24"/>
        </w:rPr>
        <w:t>Metabolomics Core</w:t>
      </w:r>
    </w:p>
    <w:p w14:paraId="1C33F98E" w14:textId="77777777" w:rsidR="002C51E5" w:rsidRPr="002C51E5" w:rsidRDefault="002C51E5" w:rsidP="002C51E5">
      <w:pPr>
        <w:spacing w:before="60" w:afterLines="60" w:after="144"/>
        <w:jc w:val="both"/>
        <w:rPr>
          <w:rFonts w:ascii="Times New Roman" w:eastAsia="Times New Roman" w:hAnsi="Times New Roman" w:cs="Times New Roman"/>
          <w:bCs/>
          <w:sz w:val="24"/>
          <w:szCs w:val="24"/>
        </w:rPr>
      </w:pPr>
      <w:r w:rsidRPr="002C51E5">
        <w:rPr>
          <w:rFonts w:ascii="Times New Roman" w:eastAsia="Times New Roman" w:hAnsi="Times New Roman" w:cs="Times New Roman"/>
          <w:bCs/>
          <w:sz w:val="24"/>
          <w:szCs w:val="24"/>
        </w:rPr>
        <w:t xml:space="preserve">The Metabolomics Core Facility at the University of California, Riverside was inaugurated in 2018 and has since served campus with the latest technologies in small molecules analysis. It houses a comprehensive set of mass spectrometers and chromatographers including: 1) Waters </w:t>
      </w:r>
      <w:proofErr w:type="spellStart"/>
      <w:r w:rsidRPr="002C51E5">
        <w:rPr>
          <w:rFonts w:ascii="Times New Roman" w:eastAsia="Times New Roman" w:hAnsi="Times New Roman" w:cs="Times New Roman"/>
          <w:bCs/>
          <w:sz w:val="24"/>
          <w:szCs w:val="24"/>
        </w:rPr>
        <w:t>Synapt</w:t>
      </w:r>
      <w:proofErr w:type="spellEnd"/>
      <w:r w:rsidRPr="002C51E5">
        <w:rPr>
          <w:rFonts w:ascii="Times New Roman" w:eastAsia="Times New Roman" w:hAnsi="Times New Roman" w:cs="Times New Roman"/>
          <w:bCs/>
          <w:sz w:val="24"/>
          <w:szCs w:val="24"/>
        </w:rPr>
        <w:t xml:space="preserve"> G2-Si Q-TOF coupled to an </w:t>
      </w:r>
      <w:proofErr w:type="spellStart"/>
      <w:r w:rsidRPr="002C51E5">
        <w:rPr>
          <w:rFonts w:ascii="Times New Roman" w:eastAsia="Times New Roman" w:hAnsi="Times New Roman" w:cs="Times New Roman"/>
          <w:bCs/>
          <w:sz w:val="24"/>
          <w:szCs w:val="24"/>
        </w:rPr>
        <w:t>Acquity</w:t>
      </w:r>
      <w:proofErr w:type="spellEnd"/>
      <w:r w:rsidRPr="002C51E5">
        <w:rPr>
          <w:rFonts w:ascii="Times New Roman" w:eastAsia="Times New Roman" w:hAnsi="Times New Roman" w:cs="Times New Roman"/>
          <w:bCs/>
          <w:sz w:val="24"/>
          <w:szCs w:val="24"/>
        </w:rPr>
        <w:t xml:space="preserve"> I class UPLC system (FTN-BSM), this system is equipped with an ESI source for liquid chromatography based experiments and a MALDI source for MS imaging, the system is capable of ion mobility experiments; 2) Waters G2-XS Q-TOF coupled to an </w:t>
      </w:r>
      <w:proofErr w:type="spellStart"/>
      <w:r w:rsidRPr="002C51E5">
        <w:rPr>
          <w:rFonts w:ascii="Times New Roman" w:eastAsia="Times New Roman" w:hAnsi="Times New Roman" w:cs="Times New Roman"/>
          <w:bCs/>
          <w:sz w:val="24"/>
          <w:szCs w:val="24"/>
        </w:rPr>
        <w:t>Acquity</w:t>
      </w:r>
      <w:proofErr w:type="spellEnd"/>
      <w:r w:rsidRPr="002C51E5">
        <w:rPr>
          <w:rFonts w:ascii="Times New Roman" w:eastAsia="Times New Roman" w:hAnsi="Times New Roman" w:cs="Times New Roman"/>
          <w:bCs/>
          <w:sz w:val="24"/>
          <w:szCs w:val="24"/>
        </w:rPr>
        <w:t xml:space="preserve"> H class UPLC system (FTN-QSM) equipped with a fraction collector module, the system uses an ESI source; 3) Waters </w:t>
      </w:r>
      <w:proofErr w:type="spellStart"/>
      <w:r w:rsidRPr="002C51E5">
        <w:rPr>
          <w:rFonts w:ascii="Times New Roman" w:eastAsia="Times New Roman" w:hAnsi="Times New Roman" w:cs="Times New Roman"/>
          <w:bCs/>
          <w:sz w:val="24"/>
          <w:szCs w:val="24"/>
        </w:rPr>
        <w:t>Xevo</w:t>
      </w:r>
      <w:proofErr w:type="spellEnd"/>
      <w:r w:rsidRPr="002C51E5">
        <w:rPr>
          <w:rFonts w:ascii="Times New Roman" w:eastAsia="Times New Roman" w:hAnsi="Times New Roman" w:cs="Times New Roman"/>
          <w:bCs/>
          <w:sz w:val="24"/>
          <w:szCs w:val="24"/>
        </w:rPr>
        <w:t xml:space="preserve"> TQ-XS tandem quadrupole (QQQ) coupled to an </w:t>
      </w:r>
      <w:proofErr w:type="spellStart"/>
      <w:r w:rsidRPr="002C51E5">
        <w:rPr>
          <w:rFonts w:ascii="Times New Roman" w:eastAsia="Times New Roman" w:hAnsi="Times New Roman" w:cs="Times New Roman"/>
          <w:bCs/>
          <w:sz w:val="24"/>
          <w:szCs w:val="24"/>
        </w:rPr>
        <w:t>Acquity</w:t>
      </w:r>
      <w:proofErr w:type="spellEnd"/>
      <w:r w:rsidRPr="002C51E5">
        <w:rPr>
          <w:rFonts w:ascii="Times New Roman" w:eastAsia="Times New Roman" w:hAnsi="Times New Roman" w:cs="Times New Roman"/>
          <w:bCs/>
          <w:sz w:val="24"/>
          <w:szCs w:val="24"/>
        </w:rPr>
        <w:t xml:space="preserve"> I class UPLC system (FTN-BSM), this instrument is primarily used for targeted small molecule analysis (ESI source); 4) Thermo Scientific ISQ-7000 single quadruple mass spectrometer coupled to a Trace 1310 Gas Chromatographer, this system is equipped with a fully automated Tri Plush RSH tool changing station containing a head space liquid tool and SPME tool, this setup can accommodate traditional GC-MS sample analysis as well as volatile sample analysis.</w:t>
      </w:r>
    </w:p>
    <w:p w14:paraId="10F976A9" w14:textId="77777777" w:rsidR="002C51E5" w:rsidRPr="002C51E5" w:rsidRDefault="002C51E5" w:rsidP="002C51E5">
      <w:pPr>
        <w:spacing w:before="60" w:afterLines="60" w:after="144"/>
        <w:jc w:val="both"/>
        <w:rPr>
          <w:rFonts w:ascii="Times New Roman" w:eastAsia="Times New Roman" w:hAnsi="Times New Roman" w:cs="Times New Roman"/>
          <w:bCs/>
          <w:sz w:val="24"/>
          <w:szCs w:val="24"/>
        </w:rPr>
      </w:pPr>
      <w:r w:rsidRPr="002C51E5">
        <w:rPr>
          <w:rFonts w:ascii="Times New Roman" w:eastAsia="Times New Roman" w:hAnsi="Times New Roman" w:cs="Times New Roman"/>
          <w:bCs/>
          <w:sz w:val="24"/>
          <w:szCs w:val="24"/>
        </w:rPr>
        <w:t xml:space="preserve">The UCR Metabolomics core is a full-service core fully equipped for comprehensive sample preparation. It currently houses a series of instruments for that purpose including: </w:t>
      </w:r>
      <w:proofErr w:type="spellStart"/>
      <w:r w:rsidRPr="002C51E5">
        <w:rPr>
          <w:rFonts w:ascii="Times New Roman" w:eastAsia="Times New Roman" w:hAnsi="Times New Roman" w:cs="Times New Roman"/>
          <w:bCs/>
          <w:sz w:val="24"/>
          <w:szCs w:val="24"/>
        </w:rPr>
        <w:t>Labconco</w:t>
      </w:r>
      <w:proofErr w:type="spellEnd"/>
      <w:r w:rsidRPr="002C51E5">
        <w:rPr>
          <w:rFonts w:ascii="Times New Roman" w:eastAsia="Times New Roman" w:hAnsi="Times New Roman" w:cs="Times New Roman"/>
          <w:bCs/>
          <w:sz w:val="24"/>
          <w:szCs w:val="24"/>
        </w:rPr>
        <w:t xml:space="preserve"> Freeze Zone 2.5 L (-84oC) </w:t>
      </w:r>
      <w:proofErr w:type="spellStart"/>
      <w:r w:rsidRPr="002C51E5">
        <w:rPr>
          <w:rFonts w:ascii="Times New Roman" w:eastAsia="Times New Roman" w:hAnsi="Times New Roman" w:cs="Times New Roman"/>
          <w:bCs/>
          <w:sz w:val="24"/>
          <w:szCs w:val="24"/>
        </w:rPr>
        <w:t>lyophilizer</w:t>
      </w:r>
      <w:proofErr w:type="spellEnd"/>
      <w:r w:rsidRPr="002C51E5">
        <w:rPr>
          <w:rFonts w:ascii="Times New Roman" w:eastAsia="Times New Roman" w:hAnsi="Times New Roman" w:cs="Times New Roman"/>
          <w:bCs/>
          <w:sz w:val="24"/>
          <w:szCs w:val="24"/>
        </w:rPr>
        <w:t xml:space="preserve">, Mettler Toledo New Classic MS precision scale, Fisher Scientific Ultrasonic Bath 9.5 L, </w:t>
      </w:r>
      <w:proofErr w:type="spellStart"/>
      <w:r w:rsidRPr="002C51E5">
        <w:rPr>
          <w:rFonts w:ascii="Times New Roman" w:eastAsia="Times New Roman" w:hAnsi="Times New Roman" w:cs="Times New Roman"/>
          <w:bCs/>
          <w:sz w:val="24"/>
          <w:szCs w:val="24"/>
        </w:rPr>
        <w:t>Glas</w:t>
      </w:r>
      <w:proofErr w:type="spellEnd"/>
      <w:r w:rsidRPr="002C51E5">
        <w:rPr>
          <w:rFonts w:ascii="Times New Roman" w:eastAsia="Times New Roman" w:hAnsi="Times New Roman" w:cs="Times New Roman"/>
          <w:bCs/>
          <w:sz w:val="24"/>
          <w:szCs w:val="24"/>
        </w:rPr>
        <w:t xml:space="preserve">-Col Zip </w:t>
      </w:r>
      <w:proofErr w:type="spellStart"/>
      <w:r w:rsidRPr="002C51E5">
        <w:rPr>
          <w:rFonts w:ascii="Times New Roman" w:eastAsia="Times New Roman" w:hAnsi="Times New Roman" w:cs="Times New Roman"/>
          <w:bCs/>
          <w:sz w:val="24"/>
          <w:szCs w:val="24"/>
        </w:rPr>
        <w:t>Vap</w:t>
      </w:r>
      <w:proofErr w:type="spellEnd"/>
      <w:r w:rsidRPr="002C51E5">
        <w:rPr>
          <w:rFonts w:ascii="Times New Roman" w:eastAsia="Times New Roman" w:hAnsi="Times New Roman" w:cs="Times New Roman"/>
          <w:bCs/>
          <w:sz w:val="24"/>
          <w:szCs w:val="24"/>
        </w:rPr>
        <w:t xml:space="preserve"> sample blower for sample drying, Omni International Bead </w:t>
      </w:r>
      <w:proofErr w:type="spellStart"/>
      <w:r w:rsidRPr="002C51E5">
        <w:rPr>
          <w:rFonts w:ascii="Times New Roman" w:eastAsia="Times New Roman" w:hAnsi="Times New Roman" w:cs="Times New Roman"/>
          <w:bCs/>
          <w:sz w:val="24"/>
          <w:szCs w:val="24"/>
        </w:rPr>
        <w:t>Ruptor</w:t>
      </w:r>
      <w:proofErr w:type="spellEnd"/>
      <w:r w:rsidRPr="002C51E5">
        <w:rPr>
          <w:rFonts w:ascii="Times New Roman" w:eastAsia="Times New Roman" w:hAnsi="Times New Roman" w:cs="Times New Roman"/>
          <w:bCs/>
          <w:sz w:val="24"/>
          <w:szCs w:val="24"/>
        </w:rPr>
        <w:t xml:space="preserve"> Elite for grinding, Thermo Scientific </w:t>
      </w:r>
      <w:proofErr w:type="spellStart"/>
      <w:r w:rsidRPr="002C51E5">
        <w:rPr>
          <w:rFonts w:ascii="Times New Roman" w:eastAsia="Times New Roman" w:hAnsi="Times New Roman" w:cs="Times New Roman"/>
          <w:bCs/>
          <w:sz w:val="24"/>
          <w:szCs w:val="24"/>
        </w:rPr>
        <w:t>Sorvall</w:t>
      </w:r>
      <w:proofErr w:type="spellEnd"/>
      <w:r w:rsidRPr="002C51E5">
        <w:rPr>
          <w:rFonts w:ascii="Times New Roman" w:eastAsia="Times New Roman" w:hAnsi="Times New Roman" w:cs="Times New Roman"/>
          <w:bCs/>
          <w:sz w:val="24"/>
          <w:szCs w:val="24"/>
        </w:rPr>
        <w:t xml:space="preserve"> Legend XTR Centrifuge, </w:t>
      </w:r>
      <w:proofErr w:type="spellStart"/>
      <w:r w:rsidRPr="002C51E5">
        <w:rPr>
          <w:rFonts w:ascii="Times New Roman" w:eastAsia="Times New Roman" w:hAnsi="Times New Roman" w:cs="Times New Roman"/>
          <w:bCs/>
          <w:sz w:val="24"/>
          <w:szCs w:val="24"/>
        </w:rPr>
        <w:t>Labconco</w:t>
      </w:r>
      <w:proofErr w:type="spellEnd"/>
      <w:r w:rsidRPr="002C51E5">
        <w:rPr>
          <w:rFonts w:ascii="Times New Roman" w:eastAsia="Times New Roman" w:hAnsi="Times New Roman" w:cs="Times New Roman"/>
          <w:bCs/>
          <w:sz w:val="24"/>
          <w:szCs w:val="24"/>
        </w:rPr>
        <w:t xml:space="preserve"> Refrigerated </w:t>
      </w:r>
      <w:proofErr w:type="spellStart"/>
      <w:r w:rsidRPr="002C51E5">
        <w:rPr>
          <w:rFonts w:ascii="Times New Roman" w:eastAsia="Times New Roman" w:hAnsi="Times New Roman" w:cs="Times New Roman"/>
          <w:bCs/>
          <w:sz w:val="24"/>
          <w:szCs w:val="24"/>
        </w:rPr>
        <w:t>Centrivap</w:t>
      </w:r>
      <w:proofErr w:type="spellEnd"/>
      <w:r w:rsidRPr="002C51E5">
        <w:rPr>
          <w:rFonts w:ascii="Times New Roman" w:eastAsia="Times New Roman" w:hAnsi="Times New Roman" w:cs="Times New Roman"/>
          <w:bCs/>
          <w:sz w:val="24"/>
          <w:szCs w:val="24"/>
        </w:rPr>
        <w:t xml:space="preserve"> Concentrator, and Eppendorf </w:t>
      </w:r>
      <w:proofErr w:type="spellStart"/>
      <w:r w:rsidRPr="002C51E5">
        <w:rPr>
          <w:rFonts w:ascii="Times New Roman" w:eastAsia="Times New Roman" w:hAnsi="Times New Roman" w:cs="Times New Roman"/>
          <w:bCs/>
          <w:sz w:val="24"/>
          <w:szCs w:val="24"/>
        </w:rPr>
        <w:t>ThermoMixer</w:t>
      </w:r>
      <w:proofErr w:type="spellEnd"/>
      <w:r w:rsidRPr="002C51E5">
        <w:rPr>
          <w:rFonts w:ascii="Times New Roman" w:eastAsia="Times New Roman" w:hAnsi="Times New Roman" w:cs="Times New Roman"/>
          <w:bCs/>
          <w:sz w:val="24"/>
          <w:szCs w:val="24"/>
        </w:rPr>
        <w:t xml:space="preserve"> C incubator.</w:t>
      </w:r>
    </w:p>
    <w:p w14:paraId="4D49DC1A" w14:textId="77777777" w:rsidR="002C51E5" w:rsidRPr="002C51E5" w:rsidRDefault="002C51E5" w:rsidP="002C51E5">
      <w:pPr>
        <w:spacing w:before="60" w:afterLines="60" w:after="144"/>
        <w:jc w:val="both"/>
        <w:rPr>
          <w:rFonts w:ascii="Times New Roman" w:eastAsia="Times New Roman" w:hAnsi="Times New Roman" w:cs="Times New Roman"/>
          <w:bCs/>
          <w:sz w:val="24"/>
          <w:szCs w:val="24"/>
        </w:rPr>
      </w:pPr>
      <w:r w:rsidRPr="002C51E5">
        <w:rPr>
          <w:rFonts w:ascii="Times New Roman" w:eastAsia="Times New Roman" w:hAnsi="Times New Roman" w:cs="Times New Roman"/>
          <w:bCs/>
          <w:sz w:val="24"/>
          <w:szCs w:val="24"/>
        </w:rPr>
        <w:t xml:space="preserve">Several resources for data analysis are available at the UCR Metabolomics core including an in-house metabolite library (&gt; 3000 molecules), including lipids, </w:t>
      </w:r>
      <w:proofErr w:type="gramStart"/>
      <w:r w:rsidRPr="002C51E5">
        <w:rPr>
          <w:rFonts w:ascii="Times New Roman" w:eastAsia="Times New Roman" w:hAnsi="Times New Roman" w:cs="Times New Roman"/>
          <w:bCs/>
          <w:sz w:val="24"/>
          <w:szCs w:val="24"/>
        </w:rPr>
        <w:t>endocannabinoids</w:t>
      </w:r>
      <w:proofErr w:type="gramEnd"/>
      <w:r w:rsidRPr="002C51E5">
        <w:rPr>
          <w:rFonts w:ascii="Times New Roman" w:eastAsia="Times New Roman" w:hAnsi="Times New Roman" w:cs="Times New Roman"/>
          <w:bCs/>
          <w:sz w:val="24"/>
          <w:szCs w:val="24"/>
        </w:rPr>
        <w:t xml:space="preserve"> and secondary metabolites. For targeted LC-MS data analysis Waters </w:t>
      </w:r>
      <w:proofErr w:type="spellStart"/>
      <w:r w:rsidRPr="002C51E5">
        <w:rPr>
          <w:rFonts w:ascii="Times New Roman" w:eastAsia="Times New Roman" w:hAnsi="Times New Roman" w:cs="Times New Roman"/>
          <w:bCs/>
          <w:sz w:val="24"/>
          <w:szCs w:val="24"/>
        </w:rPr>
        <w:t>Targetlynx</w:t>
      </w:r>
      <w:proofErr w:type="spellEnd"/>
      <w:r w:rsidRPr="002C51E5">
        <w:rPr>
          <w:rFonts w:ascii="Times New Roman" w:eastAsia="Times New Roman" w:hAnsi="Times New Roman" w:cs="Times New Roman"/>
          <w:bCs/>
          <w:sz w:val="24"/>
          <w:szCs w:val="24"/>
        </w:rPr>
        <w:t xml:space="preserve"> and </w:t>
      </w:r>
      <w:proofErr w:type="spellStart"/>
      <w:r w:rsidRPr="002C51E5">
        <w:rPr>
          <w:rFonts w:ascii="Times New Roman" w:eastAsia="Times New Roman" w:hAnsi="Times New Roman" w:cs="Times New Roman"/>
          <w:bCs/>
          <w:sz w:val="24"/>
          <w:szCs w:val="24"/>
        </w:rPr>
        <w:t>Quanlynx</w:t>
      </w:r>
      <w:proofErr w:type="spellEnd"/>
      <w:r w:rsidRPr="002C51E5">
        <w:rPr>
          <w:rFonts w:ascii="Times New Roman" w:eastAsia="Times New Roman" w:hAnsi="Times New Roman" w:cs="Times New Roman"/>
          <w:bCs/>
          <w:sz w:val="24"/>
          <w:szCs w:val="24"/>
        </w:rPr>
        <w:t xml:space="preserve"> software as well as the open-source Skyline platform are commonly employed. For untargeted LC-MS analysis Progenesis (Waters Nonlinear Dynamics) is primarily utilized. For GC-MS data analysis </w:t>
      </w:r>
      <w:proofErr w:type="spellStart"/>
      <w:r w:rsidRPr="002C51E5">
        <w:rPr>
          <w:rFonts w:ascii="Times New Roman" w:eastAsia="Times New Roman" w:hAnsi="Times New Roman" w:cs="Times New Roman"/>
          <w:bCs/>
          <w:sz w:val="24"/>
          <w:szCs w:val="24"/>
        </w:rPr>
        <w:t>Chromeleon</w:t>
      </w:r>
      <w:proofErr w:type="spellEnd"/>
      <w:r w:rsidRPr="002C51E5">
        <w:rPr>
          <w:rFonts w:ascii="Times New Roman" w:eastAsia="Times New Roman" w:hAnsi="Times New Roman" w:cs="Times New Roman"/>
          <w:bCs/>
          <w:sz w:val="24"/>
          <w:szCs w:val="24"/>
        </w:rPr>
        <w:t xml:space="preserve"> 7.2.10 equipped with the NIST library is available. MS imaging studies are analyzed using the Waters HDIv1 software. Statistical analysis is conducted through an inhouse constructed data exploration tool with an intuitive user-friendly interface.</w:t>
      </w:r>
    </w:p>
    <w:p w14:paraId="258DBFD1" w14:textId="77777777" w:rsidR="002C51E5" w:rsidRPr="002C51E5" w:rsidRDefault="002C51E5" w:rsidP="002C51E5">
      <w:pPr>
        <w:spacing w:before="60" w:afterLines="60" w:after="144"/>
        <w:jc w:val="both"/>
        <w:rPr>
          <w:rFonts w:ascii="Times New Roman" w:eastAsia="Times New Roman" w:hAnsi="Times New Roman" w:cs="Times New Roman"/>
          <w:bCs/>
          <w:sz w:val="24"/>
          <w:szCs w:val="24"/>
        </w:rPr>
      </w:pPr>
    </w:p>
    <w:p w14:paraId="47AC8A0B" w14:textId="77777777" w:rsidR="002C51E5" w:rsidRPr="002C51E5" w:rsidRDefault="002C51E5" w:rsidP="002C51E5">
      <w:pPr>
        <w:spacing w:before="60" w:afterLines="60" w:after="144"/>
        <w:jc w:val="both"/>
        <w:rPr>
          <w:rFonts w:ascii="Times New Roman" w:eastAsia="Times New Roman" w:hAnsi="Times New Roman" w:cs="Times New Roman"/>
          <w:b/>
          <w:i/>
          <w:sz w:val="24"/>
          <w:szCs w:val="24"/>
        </w:rPr>
      </w:pPr>
      <w:r w:rsidRPr="002C51E5">
        <w:rPr>
          <w:rFonts w:ascii="Times New Roman" w:eastAsia="Times New Roman" w:hAnsi="Times New Roman" w:cs="Times New Roman"/>
          <w:b/>
          <w:bCs/>
          <w:sz w:val="24"/>
          <w:szCs w:val="24"/>
        </w:rPr>
        <w:t>III.</w:t>
      </w:r>
      <w:r w:rsidRPr="002C51E5">
        <w:rPr>
          <w:rFonts w:ascii="Times New Roman" w:eastAsia="Times New Roman" w:hAnsi="Times New Roman" w:cs="Times New Roman"/>
          <w:b/>
          <w:sz w:val="24"/>
          <w:szCs w:val="24"/>
        </w:rPr>
        <w:t xml:space="preserve"> Proteomics Core</w:t>
      </w:r>
    </w:p>
    <w:p w14:paraId="4138A49C" w14:textId="77777777" w:rsidR="002C51E5" w:rsidRPr="002C51E5" w:rsidRDefault="002C51E5" w:rsidP="002C51E5">
      <w:pPr>
        <w:pStyle w:val="ListParagraph"/>
        <w:numPr>
          <w:ilvl w:val="0"/>
          <w:numId w:val="2"/>
        </w:numPr>
        <w:spacing w:before="60" w:afterLines="60" w:after="144"/>
        <w:ind w:left="1080"/>
        <w:jc w:val="both"/>
        <w:rPr>
          <w:rFonts w:ascii="Times New Roman" w:eastAsia="Times New Roman" w:hAnsi="Times New Roman" w:cs="Times New Roman"/>
          <w:b/>
          <w:i/>
          <w:sz w:val="24"/>
          <w:szCs w:val="24"/>
        </w:rPr>
      </w:pPr>
      <w:r w:rsidRPr="002C51E5">
        <w:rPr>
          <w:rFonts w:ascii="Times New Roman" w:eastAsia="SimSun" w:hAnsi="Times New Roman" w:cs="Times New Roman"/>
          <w:b/>
          <w:i/>
          <w:sz w:val="24"/>
          <w:szCs w:val="24"/>
          <w:lang w:eastAsia="zh-CN"/>
        </w:rPr>
        <w:t xml:space="preserve">Proteomics </w:t>
      </w:r>
    </w:p>
    <w:p w14:paraId="350FBBA1" w14:textId="77777777" w:rsidR="002C51E5" w:rsidRPr="002C51E5" w:rsidRDefault="002C51E5" w:rsidP="002C51E5">
      <w:pPr>
        <w:spacing w:before="60" w:afterLines="60" w:after="144"/>
        <w:ind w:firstLine="360"/>
        <w:jc w:val="both"/>
        <w:rPr>
          <w:rFonts w:ascii="Times New Roman" w:eastAsia="Times New Roman" w:hAnsi="Times New Roman" w:cs="Times New Roman"/>
          <w:bCs/>
          <w:sz w:val="24"/>
          <w:szCs w:val="24"/>
        </w:rPr>
      </w:pPr>
      <w:r w:rsidRPr="002C51E5">
        <w:rPr>
          <w:rFonts w:ascii="Times New Roman" w:eastAsia="Times New Roman" w:hAnsi="Times New Roman" w:cs="Times New Roman"/>
          <w:bCs/>
          <w:sz w:val="24"/>
          <w:szCs w:val="24"/>
        </w:rPr>
        <w:lastRenderedPageBreak/>
        <w:t xml:space="preserve">The Proteomics Core at IIGB is equipped with a range of instruments dedicated to protein separation, sample preparation, and mass spectrometry analyses. </w:t>
      </w:r>
    </w:p>
    <w:p w14:paraId="379DE9DA" w14:textId="77777777" w:rsidR="002C51E5" w:rsidRPr="002C51E5" w:rsidRDefault="002C51E5" w:rsidP="002C51E5">
      <w:pPr>
        <w:spacing w:before="60" w:afterLines="60" w:after="144"/>
        <w:ind w:firstLine="360"/>
        <w:jc w:val="both"/>
        <w:rPr>
          <w:rFonts w:ascii="Times New Roman" w:eastAsia="Times New Roman" w:hAnsi="Times New Roman" w:cs="Times New Roman"/>
          <w:bCs/>
          <w:sz w:val="24"/>
          <w:szCs w:val="24"/>
        </w:rPr>
      </w:pPr>
      <w:r w:rsidRPr="002C51E5">
        <w:rPr>
          <w:rFonts w:ascii="Times New Roman" w:eastAsia="Times New Roman" w:hAnsi="Times New Roman" w:cs="Times New Roman"/>
          <w:bCs/>
          <w:sz w:val="24"/>
          <w:szCs w:val="24"/>
        </w:rPr>
        <w:t>Our facility features an EASY-</w:t>
      </w:r>
      <w:proofErr w:type="spellStart"/>
      <w:r w:rsidRPr="002C51E5">
        <w:rPr>
          <w:rFonts w:ascii="Times New Roman" w:eastAsia="Times New Roman" w:hAnsi="Times New Roman" w:cs="Times New Roman"/>
          <w:bCs/>
          <w:sz w:val="24"/>
          <w:szCs w:val="24"/>
        </w:rPr>
        <w:t>nLC</w:t>
      </w:r>
      <w:proofErr w:type="spellEnd"/>
      <w:r w:rsidRPr="002C51E5">
        <w:rPr>
          <w:rFonts w:ascii="Times New Roman" w:eastAsia="Times New Roman" w:hAnsi="Times New Roman" w:cs="Times New Roman"/>
          <w:bCs/>
          <w:sz w:val="24"/>
          <w:szCs w:val="24"/>
        </w:rPr>
        <w:t xml:space="preserve"> 1200 coupled with an LTQ Orbitrap Fusion™ mass spectrometer LC-MS/MS system, and a Vanquish Neo UHPLC linked to a TSQ Altis Plus Triple Quadrupole Mass Spectrometer LC-MS/MS system. Each LC-MS/MS system is outfitted with an easy spray ion source, ensuring high separation efficiency, stability, and improved ionization efficiency. Additionally, the facility boasts an upgraded ultra-performance liquid chromatography (UPLC) with non-splitting direct nano-flow and advanced data processing software, enhancing our capability to conduct large-scale quantitative proteomics analyses with increased sensitivity and sequence coverage. Thanks to an NIH S10 instrument grant, we have integrated a highly advanced Orbitrap Fusion MS system into our suite of tools, dramatically enhancing our analytical capacity and sensitivity. This system incorporates three fragmentation technologies—ETD, HCD, and CID—and is ideal for studying protein post-translational modifications such as phosphorylation and glycosylation. Its ultra-high resolution is perfect for the characterization of intact proteins through top-down approaches, and its sub-femtomole level detection sensitivity makes it adept at identifying low-abundance proteins from limited biological samples. When combined with a two-dimensional </w:t>
      </w:r>
      <w:proofErr w:type="spellStart"/>
      <w:r w:rsidRPr="002C51E5">
        <w:rPr>
          <w:rFonts w:ascii="Times New Roman" w:eastAsia="Times New Roman" w:hAnsi="Times New Roman" w:cs="Times New Roman"/>
          <w:bCs/>
          <w:sz w:val="24"/>
          <w:szCs w:val="24"/>
        </w:rPr>
        <w:t>nanoUPLC</w:t>
      </w:r>
      <w:proofErr w:type="spellEnd"/>
      <w:r w:rsidRPr="002C51E5">
        <w:rPr>
          <w:rFonts w:ascii="Times New Roman" w:eastAsia="Times New Roman" w:hAnsi="Times New Roman" w:cs="Times New Roman"/>
          <w:bCs/>
          <w:sz w:val="24"/>
          <w:szCs w:val="24"/>
        </w:rPr>
        <w:t xml:space="preserve"> system, the Orbitrap Fusion routinely executes </w:t>
      </w:r>
      <w:proofErr w:type="spellStart"/>
      <w:r w:rsidRPr="002C51E5">
        <w:rPr>
          <w:rFonts w:ascii="Times New Roman" w:eastAsia="Times New Roman" w:hAnsi="Times New Roman" w:cs="Times New Roman"/>
          <w:bCs/>
          <w:sz w:val="24"/>
          <w:szCs w:val="24"/>
        </w:rPr>
        <w:t>MudPIT</w:t>
      </w:r>
      <w:proofErr w:type="spellEnd"/>
      <w:r w:rsidRPr="002C51E5">
        <w:rPr>
          <w:rFonts w:ascii="Times New Roman" w:eastAsia="Times New Roman" w:hAnsi="Times New Roman" w:cs="Times New Roman"/>
          <w:bCs/>
          <w:sz w:val="24"/>
          <w:szCs w:val="24"/>
        </w:rPr>
        <w:t xml:space="preserve"> analysis on highly complex biological samples, both qualitatively and quantitatively. With the TSQ Altis Plus Triple Quadrupole Mass Spectrometer, our facility excels in high-sensitivity targeted proteomics. This branch of proteomics concentrates on analyzing specific proteins within a complex mixture through techniques such as Selected Reaction Monitoring (SRM) or Multiple Reaction Monitoring (MRM), using triple quadrupole mass spectrometers to detect and quantify unique peptides. Targeted proteomics is invaluable for researchers and clinicians focusing on specific proteins to understand disease mechanisms, validate biomarkers, or assess therapeutic effects. Leveraging our sophisticated equipment, we also provide services for identifying post-translational modifications (PTMs), including phosphorylation, glycosylation, ubiquitination, and SUMOylation, etc., employing well-optimized enrichment and identification strategies.</w:t>
      </w:r>
    </w:p>
    <w:p w14:paraId="40212C48" w14:textId="77777777" w:rsidR="002C51E5" w:rsidRPr="002C51E5" w:rsidRDefault="002C51E5" w:rsidP="002C51E5">
      <w:pPr>
        <w:pStyle w:val="ListParagraph"/>
        <w:numPr>
          <w:ilvl w:val="0"/>
          <w:numId w:val="2"/>
        </w:numPr>
        <w:spacing w:before="60" w:afterLines="60" w:after="144"/>
        <w:ind w:left="1080"/>
        <w:jc w:val="both"/>
        <w:rPr>
          <w:rFonts w:ascii="Times New Roman" w:eastAsia="Times New Roman" w:hAnsi="Times New Roman" w:cs="Times New Roman"/>
          <w:b/>
          <w:i/>
          <w:sz w:val="24"/>
          <w:szCs w:val="24"/>
        </w:rPr>
      </w:pPr>
      <w:r w:rsidRPr="002C51E5">
        <w:rPr>
          <w:rFonts w:ascii="Times New Roman" w:eastAsia="SimSun" w:hAnsi="Times New Roman" w:cs="Times New Roman"/>
          <w:b/>
          <w:i/>
          <w:sz w:val="24"/>
          <w:szCs w:val="24"/>
          <w:lang w:eastAsia="zh-CN"/>
        </w:rPr>
        <w:t>Purification</w:t>
      </w:r>
    </w:p>
    <w:p w14:paraId="53ACA910" w14:textId="77777777" w:rsidR="002C51E5" w:rsidRPr="002C51E5" w:rsidRDefault="002C51E5" w:rsidP="002C51E5">
      <w:pPr>
        <w:spacing w:before="60" w:afterLines="60" w:after="144"/>
        <w:ind w:firstLine="360"/>
        <w:jc w:val="both"/>
        <w:rPr>
          <w:rFonts w:ascii="Times New Roman" w:eastAsia="Times New Roman" w:hAnsi="Times New Roman" w:cs="Times New Roman"/>
          <w:sz w:val="24"/>
          <w:szCs w:val="24"/>
        </w:rPr>
      </w:pPr>
      <w:r w:rsidRPr="002C51E5">
        <w:rPr>
          <w:rFonts w:ascii="Times New Roman" w:eastAsia="Times New Roman" w:hAnsi="Times New Roman" w:cs="Times New Roman"/>
          <w:sz w:val="24"/>
          <w:szCs w:val="24"/>
        </w:rPr>
        <w:t xml:space="preserve">We are outfitted with an ÄKTA pure™ chromatography system, an indispensable tool in biochemistry and molecular biology. The FPLC system is particularly valuable in environments requiring low temperatures to prevent protein denaturation. Our facility is equipped with SEC columns and a variety of affinity columns, including </w:t>
      </w:r>
      <w:proofErr w:type="spellStart"/>
      <w:r w:rsidRPr="002C51E5">
        <w:rPr>
          <w:rFonts w:ascii="Times New Roman" w:eastAsia="Times New Roman" w:hAnsi="Times New Roman" w:cs="Times New Roman"/>
          <w:sz w:val="24"/>
          <w:szCs w:val="24"/>
        </w:rPr>
        <w:t>HisTrap</w:t>
      </w:r>
      <w:proofErr w:type="spellEnd"/>
      <w:r w:rsidRPr="002C51E5">
        <w:rPr>
          <w:rFonts w:ascii="Times New Roman" w:eastAsia="Times New Roman" w:hAnsi="Times New Roman" w:cs="Times New Roman"/>
          <w:sz w:val="24"/>
          <w:szCs w:val="24"/>
        </w:rPr>
        <w:t xml:space="preserve">, </w:t>
      </w:r>
      <w:proofErr w:type="spellStart"/>
      <w:r w:rsidRPr="002C51E5">
        <w:rPr>
          <w:rFonts w:ascii="Times New Roman" w:eastAsia="Times New Roman" w:hAnsi="Times New Roman" w:cs="Times New Roman"/>
          <w:sz w:val="24"/>
          <w:szCs w:val="24"/>
        </w:rPr>
        <w:t>GSTTrap</w:t>
      </w:r>
      <w:proofErr w:type="spellEnd"/>
      <w:r w:rsidRPr="002C51E5">
        <w:rPr>
          <w:rFonts w:ascii="Times New Roman" w:eastAsia="Times New Roman" w:hAnsi="Times New Roman" w:cs="Times New Roman"/>
          <w:sz w:val="24"/>
          <w:szCs w:val="24"/>
        </w:rPr>
        <w:t xml:space="preserve">, </w:t>
      </w:r>
      <w:proofErr w:type="spellStart"/>
      <w:r w:rsidRPr="002C51E5">
        <w:rPr>
          <w:rFonts w:ascii="Times New Roman" w:eastAsia="Times New Roman" w:hAnsi="Times New Roman" w:cs="Times New Roman"/>
          <w:sz w:val="24"/>
          <w:szCs w:val="24"/>
        </w:rPr>
        <w:t>HiTrap</w:t>
      </w:r>
      <w:proofErr w:type="spellEnd"/>
      <w:r w:rsidRPr="002C51E5">
        <w:rPr>
          <w:rFonts w:ascii="Times New Roman" w:eastAsia="Times New Roman" w:hAnsi="Times New Roman" w:cs="Times New Roman"/>
          <w:sz w:val="24"/>
          <w:szCs w:val="24"/>
        </w:rPr>
        <w:t xml:space="preserve">, and </w:t>
      </w:r>
      <w:proofErr w:type="spellStart"/>
      <w:r w:rsidRPr="002C51E5">
        <w:rPr>
          <w:rFonts w:ascii="Times New Roman" w:eastAsia="Times New Roman" w:hAnsi="Times New Roman" w:cs="Times New Roman"/>
          <w:sz w:val="24"/>
          <w:szCs w:val="24"/>
        </w:rPr>
        <w:t>MBPTrap</w:t>
      </w:r>
      <w:proofErr w:type="spellEnd"/>
      <w:r w:rsidRPr="002C51E5">
        <w:rPr>
          <w:rFonts w:ascii="Times New Roman" w:eastAsia="Times New Roman" w:hAnsi="Times New Roman" w:cs="Times New Roman"/>
          <w:sz w:val="24"/>
          <w:szCs w:val="24"/>
        </w:rPr>
        <w:t>, ensuring readiness for diverse applications. Additionally, we feature an Agilent 1260 Infinity II Quaternary LC-UV System, enabling us to provide comprehensive separation and purification services. These services include normal phase chromatography, reverse phase chromatography, and HILIC (Hydrophilic Interaction Liquid Chromatography). The commonly used chromatography columns are ready for use.</w:t>
      </w:r>
    </w:p>
    <w:p w14:paraId="21DE9BAA" w14:textId="77777777" w:rsidR="002C51E5" w:rsidRPr="002C51E5" w:rsidRDefault="002C51E5" w:rsidP="002C51E5">
      <w:pPr>
        <w:pStyle w:val="ListParagraph"/>
        <w:numPr>
          <w:ilvl w:val="0"/>
          <w:numId w:val="2"/>
        </w:numPr>
        <w:spacing w:before="60" w:afterLines="60" w:after="144"/>
        <w:ind w:left="1080"/>
        <w:jc w:val="both"/>
        <w:rPr>
          <w:rFonts w:ascii="Times New Roman" w:eastAsia="Times New Roman" w:hAnsi="Times New Roman" w:cs="Times New Roman"/>
          <w:b/>
          <w:i/>
          <w:sz w:val="24"/>
          <w:szCs w:val="24"/>
        </w:rPr>
      </w:pPr>
      <w:r w:rsidRPr="002C51E5">
        <w:rPr>
          <w:rFonts w:ascii="Times New Roman" w:eastAsia="SimSun" w:hAnsi="Times New Roman" w:cs="Times New Roman"/>
          <w:b/>
          <w:i/>
          <w:sz w:val="24"/>
          <w:szCs w:val="24"/>
          <w:lang w:eastAsia="zh-CN"/>
        </w:rPr>
        <w:t>Ultracentrifuge</w:t>
      </w:r>
    </w:p>
    <w:p w14:paraId="46EDC884" w14:textId="01B42F7E" w:rsidR="00765FB2" w:rsidRPr="002C51E5" w:rsidRDefault="002C51E5" w:rsidP="002C51E5">
      <w:pPr>
        <w:spacing w:before="60" w:afterLines="60" w:after="144"/>
        <w:jc w:val="both"/>
        <w:rPr>
          <w:rFonts w:ascii="Times New Roman" w:eastAsia="SimSun" w:hAnsi="Times New Roman" w:cs="Times New Roman"/>
          <w:sz w:val="24"/>
          <w:szCs w:val="24"/>
          <w:lang w:eastAsia="zh-CN"/>
        </w:rPr>
      </w:pPr>
      <w:r w:rsidRPr="002C51E5">
        <w:rPr>
          <w:rFonts w:ascii="Times New Roman" w:eastAsia="SimSun" w:hAnsi="Times New Roman" w:cs="Times New Roman"/>
          <w:sz w:val="24"/>
          <w:szCs w:val="24"/>
          <w:lang w:eastAsia="zh-CN"/>
        </w:rPr>
        <w:t xml:space="preserve">We are equipped with a Beckman XPN-80 Ultracentrifuge system, which </w:t>
      </w:r>
      <w:proofErr w:type="gramStart"/>
      <w:r w:rsidRPr="002C51E5">
        <w:rPr>
          <w:rFonts w:ascii="Times New Roman" w:eastAsia="SimSun" w:hAnsi="Times New Roman" w:cs="Times New Roman"/>
          <w:sz w:val="24"/>
          <w:szCs w:val="24"/>
          <w:lang w:eastAsia="zh-CN"/>
        </w:rPr>
        <w:t>is capable of reaching</w:t>
      </w:r>
      <w:proofErr w:type="gramEnd"/>
      <w:r w:rsidRPr="002C51E5">
        <w:rPr>
          <w:rFonts w:ascii="Times New Roman" w:eastAsia="SimSun" w:hAnsi="Times New Roman" w:cs="Times New Roman"/>
          <w:sz w:val="24"/>
          <w:szCs w:val="24"/>
          <w:lang w:eastAsia="zh-CN"/>
        </w:rPr>
        <w:t xml:space="preserve"> speeds up to 80,000 revolutions per minute (RPM). This high-performance system generates substantial centrifugal forces, making it suitable for a broad spectrum of advanced research applications. These include protein purification and characterization, virus isolation and purification, subcellular fractionation, and extracellular vesicle separation.</w:t>
      </w:r>
    </w:p>
    <w:sectPr w:rsidR="00765FB2" w:rsidRPr="002C5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0F00"/>
    <w:multiLevelType w:val="hybridMultilevel"/>
    <w:tmpl w:val="85964E54"/>
    <w:lvl w:ilvl="0" w:tplc="DDD60E00">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98E0E3A"/>
    <w:multiLevelType w:val="hybridMultilevel"/>
    <w:tmpl w:val="F604AC20"/>
    <w:lvl w:ilvl="0" w:tplc="ACDE4A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986377">
    <w:abstractNumId w:val="1"/>
  </w:num>
  <w:num w:numId="2" w16cid:durableId="446004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5C"/>
    <w:rsid w:val="000E1CFD"/>
    <w:rsid w:val="002C51E5"/>
    <w:rsid w:val="00523686"/>
    <w:rsid w:val="0064485C"/>
    <w:rsid w:val="00765FB2"/>
    <w:rsid w:val="009F3536"/>
    <w:rsid w:val="00CF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7825"/>
  <w15:chartTrackingRefBased/>
  <w15:docId w15:val="{A5C69210-47AD-47B9-AD63-F5C05D10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5C"/>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4485C"/>
    <w:rPr>
      <w:i/>
      <w:iCs/>
    </w:rPr>
  </w:style>
  <w:style w:type="character" w:styleId="CommentReference">
    <w:name w:val="annotation reference"/>
    <w:basedOn w:val="DefaultParagraphFont"/>
    <w:uiPriority w:val="99"/>
    <w:semiHidden/>
    <w:unhideWhenUsed/>
    <w:rsid w:val="002C51E5"/>
    <w:rPr>
      <w:sz w:val="16"/>
      <w:szCs w:val="16"/>
    </w:rPr>
  </w:style>
  <w:style w:type="paragraph" w:styleId="ListParagraph">
    <w:name w:val="List Paragraph"/>
    <w:basedOn w:val="Normal"/>
    <w:uiPriority w:val="34"/>
    <w:qFormat/>
    <w:rsid w:val="002C5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75405">
      <w:bodyDiv w:val="1"/>
      <w:marLeft w:val="0"/>
      <w:marRight w:val="0"/>
      <w:marTop w:val="0"/>
      <w:marBottom w:val="0"/>
      <w:divBdr>
        <w:top w:val="none" w:sz="0" w:space="0" w:color="auto"/>
        <w:left w:val="none" w:sz="0" w:space="0" w:color="auto"/>
        <w:bottom w:val="none" w:sz="0" w:space="0" w:color="auto"/>
        <w:right w:val="none" w:sz="0" w:space="0" w:color="auto"/>
      </w:divBdr>
    </w:div>
    <w:div w:id="1167672903">
      <w:bodyDiv w:val="1"/>
      <w:marLeft w:val="0"/>
      <w:marRight w:val="0"/>
      <w:marTop w:val="0"/>
      <w:marBottom w:val="0"/>
      <w:divBdr>
        <w:top w:val="none" w:sz="0" w:space="0" w:color="auto"/>
        <w:left w:val="none" w:sz="0" w:space="0" w:color="auto"/>
        <w:bottom w:val="none" w:sz="0" w:space="0" w:color="auto"/>
        <w:right w:val="none" w:sz="0" w:space="0" w:color="auto"/>
      </w:divBdr>
    </w:div>
    <w:div w:id="1177689232">
      <w:bodyDiv w:val="1"/>
      <w:marLeft w:val="0"/>
      <w:marRight w:val="0"/>
      <w:marTop w:val="0"/>
      <w:marBottom w:val="0"/>
      <w:divBdr>
        <w:top w:val="none" w:sz="0" w:space="0" w:color="auto"/>
        <w:left w:val="none" w:sz="0" w:space="0" w:color="auto"/>
        <w:bottom w:val="none" w:sz="0" w:space="0" w:color="auto"/>
        <w:right w:val="none" w:sz="0" w:space="0" w:color="auto"/>
      </w:divBdr>
    </w:div>
    <w:div w:id="21315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3049</Words>
  <Characters>17383</Characters>
  <Application>Microsoft Office Word</Application>
  <DocSecurity>0</DocSecurity>
  <Lines>144</Lines>
  <Paragraphs>40</Paragraphs>
  <ScaleCrop>false</ScaleCrop>
  <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Katayoon Dehesh</dc:creator>
  <cp:keywords/>
  <dc:description/>
  <cp:lastModifiedBy>Katayoon Dehesh</cp:lastModifiedBy>
  <cp:revision>2</cp:revision>
  <dcterms:created xsi:type="dcterms:W3CDTF">2024-05-24T19:09:00Z</dcterms:created>
  <dcterms:modified xsi:type="dcterms:W3CDTF">2024-05-24T19:09:00Z</dcterms:modified>
</cp:coreProperties>
</file>